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2263"/>
        <w:gridCol w:w="3402"/>
        <w:gridCol w:w="3828"/>
        <w:gridCol w:w="3827"/>
        <w:gridCol w:w="2068"/>
      </w:tblGrid>
      <w:tr w:rsidR="002009B7" w:rsidRPr="007D18D3" w:rsidTr="006E5B37">
        <w:trPr>
          <w:tblHeader/>
        </w:trPr>
        <w:tc>
          <w:tcPr>
            <w:tcW w:w="15388" w:type="dxa"/>
            <w:gridSpan w:val="5"/>
          </w:tcPr>
          <w:p w:rsidR="002009B7" w:rsidRPr="007D18D3" w:rsidRDefault="00C41AC6" w:rsidP="00C41AC6">
            <w:pPr>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Bijlage 1: Samenvatting </w:t>
            </w:r>
            <w:r w:rsidR="0036053D" w:rsidRPr="007D18D3">
              <w:rPr>
                <w:rFonts w:asciiTheme="minorHAnsi" w:hAnsiTheme="minorHAnsi" w:cstheme="minorHAnsi"/>
                <w:sz w:val="22"/>
                <w:szCs w:val="22"/>
              </w:rPr>
              <w:t xml:space="preserve">zienswijzen </w:t>
            </w:r>
            <w:r w:rsidR="007D18D3">
              <w:rPr>
                <w:rFonts w:asciiTheme="minorHAnsi" w:hAnsiTheme="minorHAnsi" w:cstheme="minorHAnsi"/>
                <w:b/>
                <w:sz w:val="22"/>
                <w:szCs w:val="22"/>
              </w:rPr>
              <w:t>jaarstukken</w:t>
            </w:r>
            <w:r w:rsidR="007D18D3" w:rsidRPr="007D18D3">
              <w:rPr>
                <w:rFonts w:asciiTheme="minorHAnsi" w:hAnsiTheme="minorHAnsi" w:cstheme="minorHAnsi"/>
                <w:b/>
                <w:sz w:val="22"/>
                <w:szCs w:val="22"/>
              </w:rPr>
              <w:t xml:space="preserve"> 2022</w:t>
            </w:r>
            <w:r w:rsidR="007D18D3">
              <w:rPr>
                <w:rFonts w:asciiTheme="minorHAnsi" w:hAnsiTheme="minorHAnsi" w:cstheme="minorHAnsi"/>
                <w:b/>
                <w:sz w:val="22"/>
                <w:szCs w:val="22"/>
              </w:rPr>
              <w:t xml:space="preserve"> Werkzaak Rivierenland</w:t>
            </w:r>
            <w:r w:rsidR="002009B7" w:rsidRPr="007D18D3">
              <w:rPr>
                <w:rFonts w:asciiTheme="minorHAnsi" w:hAnsiTheme="minorHAnsi" w:cstheme="minorHAnsi"/>
                <w:sz w:val="22"/>
                <w:szCs w:val="22"/>
              </w:rPr>
              <w:tab/>
            </w:r>
            <w:r w:rsidR="002009B7" w:rsidRPr="007D18D3">
              <w:rPr>
                <w:rFonts w:asciiTheme="minorHAnsi" w:hAnsiTheme="minorHAnsi" w:cstheme="minorHAnsi"/>
                <w:sz w:val="22"/>
                <w:szCs w:val="22"/>
              </w:rPr>
              <w:tab/>
            </w:r>
          </w:p>
        </w:tc>
      </w:tr>
      <w:tr w:rsidR="002009B7" w:rsidRPr="007D18D3" w:rsidTr="006E5B37">
        <w:trPr>
          <w:tblHeader/>
        </w:trPr>
        <w:tc>
          <w:tcPr>
            <w:tcW w:w="2263" w:type="dxa"/>
          </w:tcPr>
          <w:p w:rsidR="002009B7" w:rsidRPr="007D18D3" w:rsidRDefault="002009B7">
            <w:pPr>
              <w:rPr>
                <w:rFonts w:asciiTheme="minorHAnsi" w:hAnsiTheme="minorHAnsi" w:cstheme="minorHAnsi"/>
                <w:b/>
                <w:sz w:val="22"/>
                <w:szCs w:val="22"/>
              </w:rPr>
            </w:pPr>
          </w:p>
        </w:tc>
        <w:tc>
          <w:tcPr>
            <w:tcW w:w="3402" w:type="dxa"/>
          </w:tcPr>
          <w:p w:rsidR="002009B7" w:rsidRPr="007D18D3" w:rsidRDefault="002009B7">
            <w:pPr>
              <w:rPr>
                <w:rFonts w:asciiTheme="minorHAnsi" w:hAnsiTheme="minorHAnsi" w:cstheme="minorHAnsi"/>
                <w:b/>
                <w:sz w:val="22"/>
                <w:szCs w:val="22"/>
              </w:rPr>
            </w:pPr>
            <w:r w:rsidRPr="007D18D3">
              <w:rPr>
                <w:rFonts w:asciiTheme="minorHAnsi" w:hAnsiTheme="minorHAnsi" w:cstheme="minorHAnsi"/>
                <w:b/>
                <w:sz w:val="22"/>
                <w:szCs w:val="22"/>
              </w:rPr>
              <w:t>Inhoud</w:t>
            </w:r>
          </w:p>
        </w:tc>
        <w:tc>
          <w:tcPr>
            <w:tcW w:w="3828" w:type="dxa"/>
          </w:tcPr>
          <w:p w:rsidR="002009B7" w:rsidRPr="007D18D3" w:rsidRDefault="002009B7">
            <w:pPr>
              <w:rPr>
                <w:rFonts w:asciiTheme="minorHAnsi" w:hAnsiTheme="minorHAnsi" w:cstheme="minorHAnsi"/>
                <w:b/>
                <w:sz w:val="22"/>
                <w:szCs w:val="22"/>
              </w:rPr>
            </w:pPr>
            <w:r w:rsidRPr="007D18D3">
              <w:rPr>
                <w:rFonts w:asciiTheme="minorHAnsi" w:hAnsiTheme="minorHAnsi" w:cstheme="minorHAnsi"/>
                <w:b/>
                <w:sz w:val="22"/>
                <w:szCs w:val="22"/>
              </w:rPr>
              <w:t>Kwaliteit</w:t>
            </w:r>
          </w:p>
        </w:tc>
        <w:tc>
          <w:tcPr>
            <w:tcW w:w="3827" w:type="dxa"/>
          </w:tcPr>
          <w:p w:rsidR="002009B7" w:rsidRPr="007D18D3" w:rsidRDefault="002009B7">
            <w:pPr>
              <w:rPr>
                <w:rFonts w:asciiTheme="minorHAnsi" w:hAnsiTheme="minorHAnsi" w:cstheme="minorHAnsi"/>
                <w:b/>
                <w:sz w:val="22"/>
                <w:szCs w:val="22"/>
              </w:rPr>
            </w:pPr>
            <w:r w:rsidRPr="007D18D3">
              <w:rPr>
                <w:rFonts w:asciiTheme="minorHAnsi" w:hAnsiTheme="minorHAnsi" w:cstheme="minorHAnsi"/>
                <w:b/>
                <w:sz w:val="22"/>
                <w:szCs w:val="22"/>
              </w:rPr>
              <w:t>Financiën</w:t>
            </w:r>
          </w:p>
        </w:tc>
        <w:tc>
          <w:tcPr>
            <w:tcW w:w="2068" w:type="dxa"/>
          </w:tcPr>
          <w:p w:rsidR="002009B7" w:rsidRPr="007D18D3" w:rsidRDefault="002009B7">
            <w:pPr>
              <w:rPr>
                <w:rFonts w:asciiTheme="minorHAnsi" w:hAnsiTheme="minorHAnsi" w:cstheme="minorHAnsi"/>
                <w:b/>
                <w:sz w:val="22"/>
                <w:szCs w:val="22"/>
              </w:rPr>
            </w:pPr>
            <w:r w:rsidRPr="007D18D3">
              <w:rPr>
                <w:rFonts w:asciiTheme="minorHAnsi" w:hAnsiTheme="minorHAnsi" w:cstheme="minorHAnsi"/>
                <w:b/>
                <w:sz w:val="22"/>
                <w:szCs w:val="22"/>
              </w:rPr>
              <w:t>Oordeel</w:t>
            </w:r>
          </w:p>
        </w:tc>
      </w:tr>
      <w:tr w:rsidR="002009B7" w:rsidRPr="007D18D3" w:rsidTr="008D7BC9">
        <w:tc>
          <w:tcPr>
            <w:tcW w:w="2263" w:type="dxa"/>
          </w:tcPr>
          <w:p w:rsidR="002009B7" w:rsidRPr="007D18D3" w:rsidRDefault="00A96D6A">
            <w:pPr>
              <w:rPr>
                <w:rFonts w:asciiTheme="minorHAnsi" w:hAnsiTheme="minorHAnsi" w:cstheme="minorHAnsi"/>
                <w:sz w:val="22"/>
                <w:szCs w:val="22"/>
              </w:rPr>
            </w:pPr>
            <w:r w:rsidRPr="007D18D3">
              <w:rPr>
                <w:rFonts w:asciiTheme="minorHAnsi" w:hAnsiTheme="minorHAnsi" w:cstheme="minorHAnsi"/>
                <w:sz w:val="22"/>
                <w:szCs w:val="22"/>
              </w:rPr>
              <w:t>Buren</w:t>
            </w:r>
          </w:p>
        </w:tc>
        <w:tc>
          <w:tcPr>
            <w:tcW w:w="3402" w:type="dxa"/>
          </w:tcPr>
          <w:p w:rsidR="002009B7" w:rsidRPr="007D18D3" w:rsidRDefault="00881BB5">
            <w:pPr>
              <w:rPr>
                <w:rFonts w:asciiTheme="minorHAnsi" w:hAnsiTheme="minorHAnsi" w:cstheme="minorHAnsi"/>
                <w:sz w:val="22"/>
                <w:szCs w:val="22"/>
              </w:rPr>
            </w:pPr>
            <w:r w:rsidRPr="007D18D3">
              <w:rPr>
                <w:rFonts w:asciiTheme="minorHAnsi" w:hAnsiTheme="minorHAnsi" w:cstheme="minorHAnsi"/>
                <w:sz w:val="22"/>
                <w:szCs w:val="22"/>
              </w:rPr>
              <w:t>-</w:t>
            </w:r>
          </w:p>
        </w:tc>
        <w:tc>
          <w:tcPr>
            <w:tcW w:w="3828" w:type="dxa"/>
          </w:tcPr>
          <w:p w:rsidR="002009B7" w:rsidRPr="007D18D3" w:rsidRDefault="00881BB5">
            <w:pPr>
              <w:rPr>
                <w:rFonts w:asciiTheme="minorHAnsi" w:hAnsiTheme="minorHAnsi" w:cstheme="minorHAnsi"/>
                <w:sz w:val="22"/>
                <w:szCs w:val="22"/>
              </w:rPr>
            </w:pPr>
            <w:r w:rsidRPr="007D18D3">
              <w:rPr>
                <w:rFonts w:asciiTheme="minorHAnsi" w:hAnsiTheme="minorHAnsi" w:cstheme="minorHAnsi"/>
                <w:sz w:val="22"/>
                <w:szCs w:val="22"/>
              </w:rPr>
              <w:t>-</w:t>
            </w:r>
          </w:p>
        </w:tc>
        <w:tc>
          <w:tcPr>
            <w:tcW w:w="3827" w:type="dxa"/>
          </w:tcPr>
          <w:p w:rsidR="002009B7" w:rsidRPr="007D18D3" w:rsidRDefault="00881BB5">
            <w:pPr>
              <w:rPr>
                <w:rFonts w:asciiTheme="minorHAnsi" w:hAnsiTheme="minorHAnsi" w:cstheme="minorHAnsi"/>
                <w:sz w:val="22"/>
                <w:szCs w:val="22"/>
              </w:rPr>
            </w:pPr>
            <w:r w:rsidRPr="007D18D3">
              <w:rPr>
                <w:rFonts w:asciiTheme="minorHAnsi" w:hAnsiTheme="minorHAnsi" w:cstheme="minorHAnsi"/>
                <w:sz w:val="22"/>
                <w:szCs w:val="22"/>
              </w:rPr>
              <w:t>-</w:t>
            </w:r>
          </w:p>
        </w:tc>
        <w:tc>
          <w:tcPr>
            <w:tcW w:w="2068" w:type="dxa"/>
          </w:tcPr>
          <w:p w:rsidR="002009B7" w:rsidRPr="007D18D3" w:rsidRDefault="00881BB5">
            <w:pPr>
              <w:rPr>
                <w:rFonts w:asciiTheme="minorHAnsi" w:hAnsiTheme="minorHAnsi" w:cstheme="minorHAnsi"/>
                <w:sz w:val="22"/>
                <w:szCs w:val="22"/>
              </w:rPr>
            </w:pPr>
            <w:r w:rsidRPr="007D18D3">
              <w:rPr>
                <w:rFonts w:asciiTheme="minorHAnsi" w:hAnsiTheme="minorHAnsi" w:cstheme="minorHAnsi"/>
                <w:sz w:val="22"/>
                <w:szCs w:val="22"/>
              </w:rPr>
              <w:t>Positieve zienswijze</w:t>
            </w:r>
          </w:p>
        </w:tc>
      </w:tr>
      <w:tr w:rsidR="002009B7" w:rsidRPr="007D18D3" w:rsidTr="008D7BC9">
        <w:tc>
          <w:tcPr>
            <w:tcW w:w="2263" w:type="dxa"/>
          </w:tcPr>
          <w:p w:rsidR="002009B7" w:rsidRPr="007D18D3" w:rsidRDefault="00054726">
            <w:pPr>
              <w:rPr>
                <w:rFonts w:asciiTheme="minorHAnsi" w:hAnsiTheme="minorHAnsi" w:cstheme="minorHAnsi"/>
                <w:sz w:val="22"/>
                <w:szCs w:val="22"/>
              </w:rPr>
            </w:pPr>
            <w:r w:rsidRPr="007D18D3">
              <w:rPr>
                <w:rFonts w:asciiTheme="minorHAnsi" w:hAnsiTheme="minorHAnsi" w:cstheme="minorHAnsi"/>
                <w:sz w:val="22"/>
                <w:szCs w:val="22"/>
              </w:rPr>
              <w:t>Culemborg</w:t>
            </w:r>
          </w:p>
        </w:tc>
        <w:tc>
          <w:tcPr>
            <w:tcW w:w="3402" w:type="dxa"/>
          </w:tcPr>
          <w:p w:rsidR="00C507A2" w:rsidRPr="007D18D3" w:rsidRDefault="00C507A2" w:rsidP="00C507A2">
            <w:pPr>
              <w:pStyle w:val="Lijstalinea"/>
              <w:numPr>
                <w:ilvl w:val="0"/>
                <w:numId w:val="1"/>
              </w:numPr>
              <w:ind w:left="322" w:hanging="322"/>
              <w:rPr>
                <w:rFonts w:asciiTheme="minorHAnsi" w:hAnsiTheme="minorHAnsi" w:cstheme="minorHAnsi"/>
                <w:color w:val="000000" w:themeColor="text1"/>
                <w:sz w:val="22"/>
                <w:szCs w:val="22"/>
              </w:rPr>
            </w:pPr>
            <w:r w:rsidRPr="007D18D3">
              <w:rPr>
                <w:rFonts w:asciiTheme="minorHAnsi" w:hAnsiTheme="minorHAnsi" w:cstheme="minorHAnsi"/>
                <w:color w:val="000000" w:themeColor="text1"/>
                <w:sz w:val="22"/>
                <w:szCs w:val="22"/>
              </w:rPr>
              <w:t>We zien dat de groep mensen die vanuit Werkzaak wordt gedetacheerd, is uitgebreid door een samenvoeging van verschillende vormen van detacheringen. Het zou onze wens zijn om hier toch een specificering in te maken, zodat we kunnen zien hoe de ontwikkeling van mensen eruit ziet. Denk hierbij bijvoorbeeld aan de stappen die mensen kunnen maken van een beschutte werkplek naar een werkplek zonder ondersteuning.</w:t>
            </w:r>
          </w:p>
          <w:p w:rsidR="00C507A2" w:rsidRPr="007D18D3" w:rsidRDefault="00C507A2" w:rsidP="00C507A2">
            <w:pPr>
              <w:pStyle w:val="Lijstalinea"/>
              <w:numPr>
                <w:ilvl w:val="0"/>
                <w:numId w:val="1"/>
              </w:numPr>
              <w:ind w:left="322" w:hanging="322"/>
              <w:rPr>
                <w:rFonts w:asciiTheme="minorHAnsi" w:hAnsiTheme="minorHAnsi" w:cstheme="minorHAnsi"/>
                <w:color w:val="000000" w:themeColor="text1"/>
                <w:sz w:val="22"/>
                <w:szCs w:val="22"/>
              </w:rPr>
            </w:pPr>
            <w:r w:rsidRPr="007D18D3">
              <w:rPr>
                <w:rFonts w:asciiTheme="minorHAnsi" w:hAnsiTheme="minorHAnsi" w:cstheme="minorHAnsi"/>
                <w:color w:val="000000" w:themeColor="text1"/>
                <w:sz w:val="22"/>
                <w:szCs w:val="22"/>
              </w:rPr>
              <w:t xml:space="preserve">Daarnaast ontbreekt het nog aan inzicht in de duurzame uitstroom en de monitoring hiervan per gemeente. Het besproken dashboard is uitgebleven waarbij als tussenoplossing de terugkerende maandrapportages werd aangevoerd. Echter hebben we deze helaas niet meer mogen ontvangen, zodat we te weinig zicht hebben op de ontwikkelingen van het cliëntenbestand in 2022. Onze oproep is dan ook om deze </w:t>
            </w:r>
            <w:r w:rsidRPr="007D18D3">
              <w:rPr>
                <w:rFonts w:asciiTheme="minorHAnsi" w:hAnsiTheme="minorHAnsi" w:cstheme="minorHAnsi"/>
                <w:color w:val="000000" w:themeColor="text1"/>
                <w:sz w:val="22"/>
                <w:szCs w:val="22"/>
              </w:rPr>
              <w:lastRenderedPageBreak/>
              <w:t xml:space="preserve">rapportages per ommegaande weer in te zetten.  </w:t>
            </w:r>
          </w:p>
          <w:p w:rsidR="002009B7" w:rsidRPr="007D18D3" w:rsidRDefault="00C507A2" w:rsidP="00C507A2">
            <w:pPr>
              <w:pStyle w:val="Lijstalinea"/>
              <w:numPr>
                <w:ilvl w:val="0"/>
                <w:numId w:val="1"/>
              </w:numPr>
              <w:ind w:left="322" w:hanging="322"/>
              <w:rPr>
                <w:rFonts w:asciiTheme="minorHAnsi" w:hAnsiTheme="minorHAnsi" w:cstheme="minorHAnsi"/>
                <w:color w:val="000000" w:themeColor="text1"/>
                <w:sz w:val="22"/>
                <w:szCs w:val="22"/>
              </w:rPr>
            </w:pPr>
            <w:r w:rsidRPr="007D18D3">
              <w:rPr>
                <w:rFonts w:asciiTheme="minorHAnsi" w:hAnsiTheme="minorHAnsi" w:cstheme="minorHAnsi"/>
                <w:color w:val="000000" w:themeColor="text1"/>
                <w:sz w:val="22"/>
                <w:szCs w:val="22"/>
              </w:rPr>
              <w:t xml:space="preserve">Daarnaast willen wij graag de algemene oproep plaatsen om de resultaten middels KPI’s of doelstellingen verder aan te scherpen en gedurende het jaar te monitoren. Graag zien wij in deze terugkoppelingen (maandrapportages) terug hoe de samenwerking met ons sociaal team en/of andere samenwerkingspartners verloopt. Denkt u hierbij aan een doelstellingen als de frequentie van doorverwijzing naar sociaal team. Zo houden wij beter zicht op de ontwikkelingen in het klantenbestand en op de resultaten. </w:t>
            </w:r>
          </w:p>
        </w:tc>
        <w:tc>
          <w:tcPr>
            <w:tcW w:w="3828" w:type="dxa"/>
          </w:tcPr>
          <w:p w:rsidR="00C507A2" w:rsidRPr="007D18D3" w:rsidRDefault="00C507A2" w:rsidP="008C3ACB">
            <w:pPr>
              <w:pStyle w:val="Lijstalinea"/>
              <w:numPr>
                <w:ilvl w:val="0"/>
                <w:numId w:val="3"/>
              </w:numPr>
              <w:ind w:left="322" w:hanging="284"/>
              <w:rPr>
                <w:rFonts w:asciiTheme="minorHAnsi" w:hAnsiTheme="minorHAnsi" w:cstheme="minorHAnsi"/>
                <w:sz w:val="22"/>
                <w:szCs w:val="22"/>
              </w:rPr>
            </w:pPr>
            <w:r w:rsidRPr="007D18D3">
              <w:rPr>
                <w:rFonts w:asciiTheme="minorHAnsi" w:hAnsiTheme="minorHAnsi" w:cstheme="minorHAnsi"/>
                <w:color w:val="000000" w:themeColor="text1"/>
                <w:sz w:val="22"/>
                <w:szCs w:val="22"/>
              </w:rPr>
              <w:lastRenderedPageBreak/>
              <w:t>Wij zien dat uw organisatie uitzonderlijk goed scoort voor de gestelde doelstellingen.</w:t>
            </w:r>
          </w:p>
          <w:p w:rsidR="00C507A2" w:rsidRPr="007D18D3" w:rsidRDefault="00C507A2" w:rsidP="008C3ACB">
            <w:pPr>
              <w:pStyle w:val="Lijstalinea"/>
              <w:numPr>
                <w:ilvl w:val="0"/>
                <w:numId w:val="3"/>
              </w:numPr>
              <w:ind w:left="322" w:hanging="322"/>
              <w:rPr>
                <w:rFonts w:asciiTheme="minorHAnsi" w:hAnsiTheme="minorHAnsi" w:cstheme="minorHAnsi"/>
                <w:sz w:val="22"/>
                <w:szCs w:val="22"/>
              </w:rPr>
            </w:pPr>
            <w:r w:rsidRPr="007D18D3">
              <w:rPr>
                <w:rFonts w:asciiTheme="minorHAnsi" w:hAnsiTheme="minorHAnsi" w:cstheme="minorHAnsi"/>
                <w:sz w:val="22"/>
                <w:szCs w:val="22"/>
              </w:rPr>
              <w:t xml:space="preserve">Als het gaat om uitstroomcijfers scoort u (wederom) ruim boven het landelijk gemiddelde. Onze complimenten voor deze prestatie. </w:t>
            </w:r>
          </w:p>
          <w:p w:rsidR="00C507A2" w:rsidRPr="007D18D3" w:rsidRDefault="00C507A2" w:rsidP="008C3ACB">
            <w:pPr>
              <w:pStyle w:val="Lijstalinea"/>
              <w:numPr>
                <w:ilvl w:val="0"/>
                <w:numId w:val="3"/>
              </w:numPr>
              <w:ind w:left="322" w:hanging="322"/>
              <w:rPr>
                <w:rFonts w:asciiTheme="minorHAnsi" w:hAnsiTheme="minorHAnsi" w:cstheme="minorHAnsi"/>
                <w:sz w:val="22"/>
                <w:szCs w:val="22"/>
              </w:rPr>
            </w:pPr>
            <w:r w:rsidRPr="007D18D3">
              <w:rPr>
                <w:rFonts w:asciiTheme="minorHAnsi" w:hAnsiTheme="minorHAnsi" w:cstheme="minorHAnsi"/>
                <w:sz w:val="22"/>
                <w:szCs w:val="22"/>
              </w:rPr>
              <w:t>Daarnaast geeft u aan dat het cliëntenbestand steeds complexer wordt en een grotere afstand tot de arbeidsmarkt heeft, waardoor het ondanks de gunstige arbeidsmarkt steeds uitdagender wordt om mensen duurzaam te begeleiden is naar werk. We zijn tevreden over de stappen die u onderneemt om deze doelgroep ook in de toekomst goed naar werk te kunnen blijven bedienen, zo ook op het gebied van (het voorkomen van) schulden en laaggeletterdheid.</w:t>
            </w:r>
          </w:p>
          <w:p w:rsidR="002009B7" w:rsidRPr="007D18D3" w:rsidRDefault="002009B7">
            <w:pPr>
              <w:rPr>
                <w:rFonts w:asciiTheme="minorHAnsi" w:hAnsiTheme="minorHAnsi" w:cstheme="minorHAnsi"/>
                <w:sz w:val="22"/>
                <w:szCs w:val="22"/>
              </w:rPr>
            </w:pPr>
          </w:p>
        </w:tc>
        <w:tc>
          <w:tcPr>
            <w:tcW w:w="3827" w:type="dxa"/>
          </w:tcPr>
          <w:p w:rsidR="00B01EAA" w:rsidRPr="007D18D3" w:rsidRDefault="008C3ACB" w:rsidP="00647D82">
            <w:pPr>
              <w:pStyle w:val="Lijstalinea"/>
              <w:numPr>
                <w:ilvl w:val="0"/>
                <w:numId w:val="5"/>
              </w:numPr>
              <w:ind w:left="322" w:hanging="284"/>
              <w:rPr>
                <w:rFonts w:asciiTheme="minorHAnsi" w:hAnsiTheme="minorHAnsi" w:cstheme="minorHAnsi"/>
                <w:color w:val="000000" w:themeColor="text1"/>
                <w:sz w:val="22"/>
                <w:szCs w:val="22"/>
              </w:rPr>
            </w:pPr>
            <w:r w:rsidRPr="007D18D3">
              <w:rPr>
                <w:rFonts w:asciiTheme="minorHAnsi" w:hAnsiTheme="minorHAnsi" w:cstheme="minorHAnsi"/>
                <w:color w:val="000000" w:themeColor="text1"/>
                <w:sz w:val="22"/>
                <w:szCs w:val="22"/>
              </w:rPr>
              <w:t>De feitelijke uitgaven op de BUIG budgetten (de gelden die bedoeld zijn om de uitkeringen te betalen) liggen ten opzichte van de begrote BUIG budgetten fors lager in 2022. Daardoor is er een flink positief resultaat op deze BUIG middelen ontstaan. Echter, het Rijk heeft het BUIG budget inmiddels weer naar beneden bijgesteld, omdat het aantal feitelijk werkeloze vele malen lager is dan in eerste instantie werd verwacht.</w:t>
            </w:r>
          </w:p>
          <w:p w:rsidR="002009B7" w:rsidRPr="007D18D3" w:rsidRDefault="008C3ACB" w:rsidP="00B01EAA">
            <w:pPr>
              <w:ind w:left="324"/>
              <w:rPr>
                <w:rFonts w:asciiTheme="minorHAnsi" w:hAnsiTheme="minorHAnsi" w:cstheme="minorHAnsi"/>
                <w:color w:val="000000" w:themeColor="text1"/>
                <w:sz w:val="22"/>
                <w:szCs w:val="22"/>
              </w:rPr>
            </w:pPr>
            <w:r w:rsidRPr="007D18D3">
              <w:rPr>
                <w:rFonts w:asciiTheme="minorHAnsi" w:hAnsiTheme="minorHAnsi" w:cstheme="minorHAnsi"/>
                <w:color w:val="000000" w:themeColor="text1"/>
                <w:sz w:val="22"/>
                <w:szCs w:val="22"/>
              </w:rPr>
              <w:t>Het is goed om te lezen dat het positieve resultaat (circa 1,7 miljoen voor Culemborg) op de BUIG budgetten toereikend is om de verlaging vanuit het Rijk op te vangen. Door de vanuit de bestuurlijke agenda 2020 afgesproken herverdeling onder de gemeenten onderling, wordt het tekort beter opgevangen wat eveneens een positief effect heeft op het bedrijfsresultaat. Graag zien we een verdere duiding van de bestemming van de eindresultaten en een uitgebreidere onderliggende analyse van deze overschotten.</w:t>
            </w:r>
          </w:p>
        </w:tc>
        <w:tc>
          <w:tcPr>
            <w:tcW w:w="2068" w:type="dxa"/>
          </w:tcPr>
          <w:p w:rsidR="002009B7" w:rsidRPr="007D18D3" w:rsidRDefault="007E6F3B">
            <w:pPr>
              <w:rPr>
                <w:rFonts w:asciiTheme="minorHAnsi" w:hAnsiTheme="minorHAnsi" w:cstheme="minorHAnsi"/>
                <w:sz w:val="22"/>
                <w:szCs w:val="22"/>
              </w:rPr>
            </w:pPr>
            <w:r>
              <w:rPr>
                <w:rFonts w:asciiTheme="minorHAnsi" w:hAnsiTheme="minorHAnsi" w:cstheme="minorHAnsi"/>
                <w:sz w:val="22"/>
                <w:szCs w:val="22"/>
              </w:rPr>
              <w:t>?</w:t>
            </w:r>
          </w:p>
        </w:tc>
      </w:tr>
      <w:tr w:rsidR="00885875" w:rsidRPr="007D18D3" w:rsidTr="008D7BC9">
        <w:tc>
          <w:tcPr>
            <w:tcW w:w="2263" w:type="dxa"/>
          </w:tcPr>
          <w:p w:rsidR="00885875" w:rsidRPr="007D18D3" w:rsidRDefault="00885875" w:rsidP="00885875">
            <w:pPr>
              <w:rPr>
                <w:rFonts w:asciiTheme="minorHAnsi" w:hAnsiTheme="minorHAnsi" w:cstheme="minorHAnsi"/>
                <w:sz w:val="22"/>
                <w:szCs w:val="22"/>
              </w:rPr>
            </w:pPr>
            <w:r w:rsidRPr="007D18D3">
              <w:rPr>
                <w:rFonts w:asciiTheme="minorHAnsi" w:hAnsiTheme="minorHAnsi" w:cstheme="minorHAnsi"/>
                <w:sz w:val="22"/>
                <w:szCs w:val="22"/>
              </w:rPr>
              <w:t>Maasdriel</w:t>
            </w:r>
          </w:p>
        </w:tc>
        <w:tc>
          <w:tcPr>
            <w:tcW w:w="3402" w:type="dxa"/>
          </w:tcPr>
          <w:p w:rsidR="00885875" w:rsidRPr="007D18D3" w:rsidRDefault="00885875" w:rsidP="00885875">
            <w:pPr>
              <w:rPr>
                <w:rFonts w:asciiTheme="minorHAnsi" w:hAnsiTheme="minorHAnsi" w:cstheme="minorHAnsi"/>
                <w:sz w:val="22"/>
                <w:szCs w:val="22"/>
              </w:rPr>
            </w:pPr>
            <w:r w:rsidRPr="007D18D3">
              <w:rPr>
                <w:rFonts w:asciiTheme="minorHAnsi" w:hAnsiTheme="minorHAnsi" w:cstheme="minorHAnsi"/>
                <w:sz w:val="22"/>
                <w:szCs w:val="22"/>
              </w:rPr>
              <w:t xml:space="preserve">U geeft aan dat het cliëntenbestand complexer wordt, een grotere afstand tot de arbeidsmarkt heeft en daardoor steeds moeilijker te begeleiden is naar werk. We zijn tevreden over de stappen die u onderneemt om deze doelgroep ook in de toekomst goed naar werk te kunnen blijven begeleiden. Blijf investeren in de doorontwikkeling van deze doelgroep en in de samenwerking met de afdelingen </w:t>
            </w:r>
            <w:r w:rsidRPr="007D18D3">
              <w:rPr>
                <w:rFonts w:asciiTheme="minorHAnsi" w:hAnsiTheme="minorHAnsi" w:cstheme="minorHAnsi"/>
                <w:sz w:val="22"/>
                <w:szCs w:val="22"/>
              </w:rPr>
              <w:lastRenderedPageBreak/>
              <w:t>Schuldhulpverlening, Bijzondere Bijstand, Wmo en het Gebiedsteam van de gemeente Maasdriel. Professionals binnen de gemeente bedienen in veel gevallen, dezelfde doelgroep. Wij hebben hiervoor begrip.</w:t>
            </w:r>
          </w:p>
          <w:p w:rsidR="00885875" w:rsidRPr="007D18D3" w:rsidRDefault="00885875" w:rsidP="00885875">
            <w:pPr>
              <w:rPr>
                <w:rFonts w:asciiTheme="minorHAnsi" w:hAnsiTheme="minorHAnsi" w:cstheme="minorHAnsi"/>
                <w:sz w:val="22"/>
                <w:szCs w:val="22"/>
              </w:rPr>
            </w:pPr>
          </w:p>
          <w:p w:rsidR="00885875" w:rsidRPr="007D18D3" w:rsidRDefault="00885875" w:rsidP="00885875">
            <w:pPr>
              <w:rPr>
                <w:rFonts w:asciiTheme="minorHAnsi" w:hAnsiTheme="minorHAnsi" w:cstheme="minorHAnsi"/>
                <w:sz w:val="22"/>
                <w:szCs w:val="22"/>
              </w:rPr>
            </w:pPr>
            <w:r w:rsidRPr="007D18D3">
              <w:rPr>
                <w:rFonts w:asciiTheme="minorHAnsi" w:hAnsiTheme="minorHAnsi" w:cstheme="minorHAnsi"/>
                <w:sz w:val="22"/>
                <w:szCs w:val="22"/>
              </w:rPr>
              <w:t xml:space="preserve">Ook geeft u aan dat de instroom van statushouders blijft toenemen en het lastig is om hen naar betaald werk te begeleiden. Graag volgen wij deze ontwikkeling en vragen u om in het vervolg deze specifieke doelgroep, cijfermatig inzichtelijk te maken. </w:t>
            </w:r>
          </w:p>
          <w:p w:rsidR="00885875" w:rsidRPr="007D18D3" w:rsidRDefault="00885875" w:rsidP="00885875">
            <w:pPr>
              <w:rPr>
                <w:rFonts w:asciiTheme="minorHAnsi" w:hAnsiTheme="minorHAnsi" w:cstheme="minorHAnsi"/>
                <w:sz w:val="22"/>
                <w:szCs w:val="22"/>
              </w:rPr>
            </w:pPr>
          </w:p>
        </w:tc>
        <w:tc>
          <w:tcPr>
            <w:tcW w:w="3828" w:type="dxa"/>
          </w:tcPr>
          <w:p w:rsidR="00885875" w:rsidRPr="007D18D3" w:rsidRDefault="00885875" w:rsidP="00885875">
            <w:pPr>
              <w:rPr>
                <w:rFonts w:asciiTheme="minorHAnsi" w:hAnsiTheme="minorHAnsi" w:cstheme="minorHAnsi"/>
                <w:sz w:val="22"/>
                <w:szCs w:val="22"/>
              </w:rPr>
            </w:pPr>
            <w:r w:rsidRPr="007D18D3">
              <w:rPr>
                <w:rFonts w:asciiTheme="minorHAnsi" w:hAnsiTheme="minorHAnsi" w:cstheme="minorHAnsi"/>
                <w:sz w:val="22"/>
                <w:szCs w:val="22"/>
              </w:rPr>
              <w:lastRenderedPageBreak/>
              <w:t xml:space="preserve">U heeft 3 van de 4 beleidsdoelstellingen behaald en presteert als het gaat om uitstroomcijfers zelfs boven het landelijk gemiddelde. Onze complimenten voor deze prestatie. De doelstelling m.b.t. het instroom-percentage is niet behaald. U geeft aan dat dit hoofdzakelijk te maken heeft met de gestegen instroom van statushouders. </w:t>
            </w:r>
          </w:p>
          <w:p w:rsidR="00885875" w:rsidRPr="007D18D3" w:rsidRDefault="00885875" w:rsidP="00885875">
            <w:pPr>
              <w:rPr>
                <w:rFonts w:asciiTheme="minorHAnsi" w:hAnsiTheme="minorHAnsi" w:cstheme="minorHAnsi"/>
                <w:sz w:val="22"/>
                <w:szCs w:val="22"/>
              </w:rPr>
            </w:pPr>
          </w:p>
          <w:p w:rsidR="00885875" w:rsidRPr="007D18D3" w:rsidRDefault="00885875" w:rsidP="00885875">
            <w:pPr>
              <w:tabs>
                <w:tab w:val="left" w:pos="708"/>
              </w:tabs>
              <w:spacing w:line="260" w:lineRule="atLeast"/>
              <w:rPr>
                <w:rFonts w:asciiTheme="minorHAnsi" w:hAnsiTheme="minorHAnsi" w:cstheme="minorHAnsi"/>
                <w:sz w:val="22"/>
                <w:szCs w:val="22"/>
              </w:rPr>
            </w:pPr>
            <w:r w:rsidRPr="007D18D3">
              <w:rPr>
                <w:rFonts w:asciiTheme="minorHAnsi" w:hAnsiTheme="minorHAnsi" w:cstheme="minorHAnsi"/>
                <w:sz w:val="22"/>
                <w:szCs w:val="22"/>
              </w:rPr>
              <w:t xml:space="preserve">We constateren dat we geen maandrapportages meer ontvangen. </w:t>
            </w:r>
            <w:r w:rsidRPr="007D18D3">
              <w:rPr>
                <w:rFonts w:asciiTheme="minorHAnsi" w:hAnsiTheme="minorHAnsi" w:cstheme="minorHAnsi"/>
                <w:sz w:val="22"/>
                <w:szCs w:val="22"/>
              </w:rPr>
              <w:lastRenderedPageBreak/>
              <w:t xml:space="preserve">Hierdoor ontbreekt ons het zicht op de ontwikkelingen van het cliëntenbestand. Wij roepen u op om deze rapportages zo snel mogelijk weer te delen met de gemeenteraden. </w:t>
            </w:r>
          </w:p>
          <w:p w:rsidR="00885875" w:rsidRPr="007D18D3" w:rsidRDefault="00885875" w:rsidP="00885875">
            <w:pPr>
              <w:rPr>
                <w:rFonts w:asciiTheme="minorHAnsi" w:hAnsiTheme="minorHAnsi" w:cstheme="minorHAnsi"/>
                <w:sz w:val="22"/>
                <w:szCs w:val="22"/>
              </w:rPr>
            </w:pPr>
          </w:p>
        </w:tc>
        <w:tc>
          <w:tcPr>
            <w:tcW w:w="3827" w:type="dxa"/>
          </w:tcPr>
          <w:p w:rsidR="00885875" w:rsidRPr="007D18D3" w:rsidRDefault="00885875" w:rsidP="00885875">
            <w:pPr>
              <w:ind w:right="-110"/>
              <w:rPr>
                <w:rFonts w:asciiTheme="minorHAnsi" w:hAnsiTheme="minorHAnsi" w:cstheme="minorHAnsi"/>
                <w:sz w:val="22"/>
                <w:szCs w:val="22"/>
              </w:rPr>
            </w:pPr>
            <w:r w:rsidRPr="007D18D3">
              <w:rPr>
                <w:rFonts w:asciiTheme="minorHAnsi" w:hAnsiTheme="minorHAnsi" w:cstheme="minorHAnsi"/>
                <w:sz w:val="22"/>
                <w:szCs w:val="22"/>
              </w:rPr>
              <w:lastRenderedPageBreak/>
              <w:t xml:space="preserve">De afgelopen jaren valt het op dat de jaarstukken een significant positief resultaat voor Maasdriel laten zien. We zien graag dat de begroting en jaarstukken beter op elkaar aansluiten zodat we realistischere voorschotten betalen. We willen graag dat Werkzaak hierover in overleg treedt met de gemeente Maasdriel om samen tot een oplossing te komen. </w:t>
            </w:r>
          </w:p>
          <w:p w:rsidR="00885875" w:rsidRPr="007D18D3" w:rsidRDefault="00885875" w:rsidP="00885875">
            <w:pPr>
              <w:rPr>
                <w:rFonts w:asciiTheme="minorHAnsi" w:hAnsiTheme="minorHAnsi" w:cstheme="minorHAnsi"/>
                <w:sz w:val="22"/>
                <w:szCs w:val="22"/>
              </w:rPr>
            </w:pPr>
          </w:p>
        </w:tc>
        <w:tc>
          <w:tcPr>
            <w:tcW w:w="2068" w:type="dxa"/>
          </w:tcPr>
          <w:p w:rsidR="00885875" w:rsidRPr="007D18D3" w:rsidRDefault="00885875" w:rsidP="00885875">
            <w:pPr>
              <w:rPr>
                <w:rFonts w:asciiTheme="minorHAnsi" w:hAnsiTheme="minorHAnsi" w:cstheme="minorHAnsi"/>
                <w:sz w:val="22"/>
                <w:szCs w:val="22"/>
              </w:rPr>
            </w:pPr>
            <w:r w:rsidRPr="007D18D3">
              <w:rPr>
                <w:rFonts w:asciiTheme="minorHAnsi" w:hAnsiTheme="minorHAnsi" w:cstheme="minorHAnsi"/>
                <w:sz w:val="22"/>
                <w:szCs w:val="22"/>
              </w:rPr>
              <w:t>Instemming met de jaarrekening</w:t>
            </w:r>
          </w:p>
        </w:tc>
      </w:tr>
      <w:tr w:rsidR="00C06125" w:rsidRPr="007D18D3" w:rsidTr="008D7BC9">
        <w:tc>
          <w:tcPr>
            <w:tcW w:w="2263" w:type="dxa"/>
          </w:tcPr>
          <w:p w:rsidR="00C06125" w:rsidRPr="007D18D3" w:rsidRDefault="00C06125" w:rsidP="00C06125">
            <w:pPr>
              <w:rPr>
                <w:rFonts w:asciiTheme="minorHAnsi" w:hAnsiTheme="minorHAnsi" w:cstheme="minorHAnsi"/>
                <w:sz w:val="22"/>
                <w:szCs w:val="22"/>
              </w:rPr>
            </w:pPr>
            <w:r w:rsidRPr="007D18D3">
              <w:rPr>
                <w:rFonts w:asciiTheme="minorHAnsi" w:hAnsiTheme="minorHAnsi" w:cstheme="minorHAnsi"/>
                <w:sz w:val="22"/>
                <w:szCs w:val="22"/>
              </w:rPr>
              <w:t>Neder-Betuwe</w:t>
            </w:r>
          </w:p>
        </w:tc>
        <w:tc>
          <w:tcPr>
            <w:tcW w:w="3402" w:type="dxa"/>
          </w:tcPr>
          <w:p w:rsidR="00C06125" w:rsidRPr="007D18D3" w:rsidRDefault="001A1E2A" w:rsidP="003E35D0">
            <w:pPr>
              <w:ind w:left="41"/>
              <w:rPr>
                <w:rFonts w:asciiTheme="minorHAnsi" w:hAnsiTheme="minorHAnsi" w:cstheme="minorHAnsi"/>
                <w:sz w:val="22"/>
                <w:szCs w:val="22"/>
              </w:rPr>
            </w:pPr>
            <w:r w:rsidRPr="007D18D3">
              <w:rPr>
                <w:rFonts w:asciiTheme="minorHAnsi" w:hAnsiTheme="minorHAnsi" w:cstheme="minorHAnsi"/>
                <w:sz w:val="22"/>
                <w:szCs w:val="22"/>
              </w:rPr>
              <w:t>-</w:t>
            </w:r>
          </w:p>
        </w:tc>
        <w:tc>
          <w:tcPr>
            <w:tcW w:w="3828" w:type="dxa"/>
          </w:tcPr>
          <w:p w:rsidR="00C06125" w:rsidRPr="007D18D3" w:rsidRDefault="001A1E2A" w:rsidP="00C06125">
            <w:pPr>
              <w:rPr>
                <w:rFonts w:asciiTheme="minorHAnsi" w:hAnsiTheme="minorHAnsi" w:cstheme="minorHAnsi"/>
                <w:sz w:val="22"/>
                <w:szCs w:val="22"/>
              </w:rPr>
            </w:pPr>
            <w:r w:rsidRPr="007D18D3">
              <w:rPr>
                <w:rFonts w:asciiTheme="minorHAnsi" w:hAnsiTheme="minorHAnsi" w:cstheme="minorHAnsi"/>
                <w:sz w:val="22"/>
                <w:szCs w:val="22"/>
              </w:rPr>
              <w:t>-</w:t>
            </w:r>
          </w:p>
        </w:tc>
        <w:tc>
          <w:tcPr>
            <w:tcW w:w="3827" w:type="dxa"/>
          </w:tcPr>
          <w:p w:rsidR="00C06125" w:rsidRPr="007D18D3" w:rsidRDefault="001A1E2A" w:rsidP="00C06125">
            <w:pPr>
              <w:rPr>
                <w:rFonts w:asciiTheme="minorHAnsi" w:hAnsiTheme="minorHAnsi" w:cstheme="minorHAnsi"/>
                <w:sz w:val="22"/>
                <w:szCs w:val="22"/>
              </w:rPr>
            </w:pPr>
            <w:r w:rsidRPr="007D18D3">
              <w:rPr>
                <w:rFonts w:asciiTheme="minorHAnsi" w:hAnsiTheme="minorHAnsi" w:cstheme="minorHAnsi"/>
                <w:sz w:val="22"/>
                <w:szCs w:val="22"/>
              </w:rPr>
              <w:t>-</w:t>
            </w:r>
          </w:p>
        </w:tc>
        <w:tc>
          <w:tcPr>
            <w:tcW w:w="2068" w:type="dxa"/>
          </w:tcPr>
          <w:p w:rsidR="00C06125" w:rsidRPr="007D18D3" w:rsidRDefault="00C06125" w:rsidP="00C06125">
            <w:pPr>
              <w:rPr>
                <w:rFonts w:asciiTheme="minorHAnsi" w:hAnsiTheme="minorHAnsi" w:cstheme="minorHAnsi"/>
                <w:sz w:val="22"/>
                <w:szCs w:val="22"/>
              </w:rPr>
            </w:pPr>
            <w:r w:rsidRPr="007D18D3">
              <w:rPr>
                <w:rFonts w:asciiTheme="minorHAnsi" w:hAnsiTheme="minorHAnsi" w:cstheme="minorHAnsi"/>
                <w:sz w:val="22"/>
                <w:szCs w:val="22"/>
              </w:rPr>
              <w:t>Geen zienswijzen</w:t>
            </w:r>
          </w:p>
        </w:tc>
      </w:tr>
      <w:tr w:rsidR="00C06125" w:rsidRPr="007D18D3" w:rsidTr="008D7BC9">
        <w:tc>
          <w:tcPr>
            <w:tcW w:w="2263" w:type="dxa"/>
          </w:tcPr>
          <w:p w:rsidR="00C06125" w:rsidRPr="007D18D3" w:rsidRDefault="00C06125" w:rsidP="00C06125">
            <w:pPr>
              <w:rPr>
                <w:rFonts w:asciiTheme="minorHAnsi" w:hAnsiTheme="minorHAnsi" w:cstheme="minorHAnsi"/>
                <w:sz w:val="22"/>
                <w:szCs w:val="22"/>
              </w:rPr>
            </w:pPr>
            <w:r w:rsidRPr="007D18D3">
              <w:rPr>
                <w:rFonts w:asciiTheme="minorHAnsi" w:hAnsiTheme="minorHAnsi" w:cstheme="minorHAnsi"/>
                <w:sz w:val="22"/>
                <w:szCs w:val="22"/>
              </w:rPr>
              <w:t>Tiel</w:t>
            </w:r>
          </w:p>
        </w:tc>
        <w:tc>
          <w:tcPr>
            <w:tcW w:w="3402" w:type="dxa"/>
          </w:tcPr>
          <w:p w:rsidR="00C06125" w:rsidRPr="007D18D3" w:rsidRDefault="00C06125" w:rsidP="00C06125">
            <w:pPr>
              <w:pStyle w:val="Lijstalinea"/>
              <w:numPr>
                <w:ilvl w:val="0"/>
                <w:numId w:val="6"/>
              </w:numPr>
              <w:ind w:left="325" w:hanging="325"/>
              <w:rPr>
                <w:rFonts w:asciiTheme="minorHAnsi" w:hAnsiTheme="minorHAnsi" w:cstheme="minorHAnsi"/>
                <w:sz w:val="22"/>
                <w:szCs w:val="22"/>
              </w:rPr>
            </w:pPr>
            <w:r w:rsidRPr="007D18D3">
              <w:rPr>
                <w:rFonts w:asciiTheme="minorHAnsi" w:hAnsiTheme="minorHAnsi" w:cstheme="minorHAnsi"/>
                <w:sz w:val="22"/>
                <w:szCs w:val="22"/>
              </w:rPr>
              <w:t>Wij hebben de jaarstukken gezien en zijn blij met het positieve resultaat dat u heeft geboekt.</w:t>
            </w:r>
          </w:p>
        </w:tc>
        <w:tc>
          <w:tcPr>
            <w:tcW w:w="3828" w:type="dxa"/>
          </w:tcPr>
          <w:p w:rsidR="00C06125" w:rsidRPr="007D18D3" w:rsidRDefault="00C06125" w:rsidP="00C06125">
            <w:pPr>
              <w:rPr>
                <w:rFonts w:asciiTheme="minorHAnsi" w:hAnsiTheme="minorHAnsi" w:cstheme="minorHAnsi"/>
                <w:sz w:val="22"/>
                <w:szCs w:val="22"/>
              </w:rPr>
            </w:pPr>
          </w:p>
        </w:tc>
        <w:tc>
          <w:tcPr>
            <w:tcW w:w="3827" w:type="dxa"/>
          </w:tcPr>
          <w:p w:rsidR="00C06125" w:rsidRPr="007D18D3" w:rsidRDefault="00C06125" w:rsidP="00C06125">
            <w:pPr>
              <w:pStyle w:val="Lijstalinea"/>
              <w:numPr>
                <w:ilvl w:val="0"/>
                <w:numId w:val="7"/>
              </w:numPr>
              <w:ind w:left="324" w:hanging="284"/>
              <w:rPr>
                <w:rFonts w:asciiTheme="minorHAnsi" w:hAnsiTheme="minorHAnsi" w:cstheme="minorHAnsi"/>
                <w:sz w:val="22"/>
                <w:szCs w:val="22"/>
              </w:rPr>
            </w:pPr>
            <w:r w:rsidRPr="007D18D3">
              <w:rPr>
                <w:rFonts w:asciiTheme="minorHAnsi" w:hAnsiTheme="minorHAnsi" w:cstheme="minorHAnsi"/>
                <w:sz w:val="22"/>
                <w:szCs w:val="22"/>
              </w:rPr>
              <w:t>Wij willen u wel verzoeken om eerder in het lopende jaar inzicht te geven in de verwachte resultaten van de BUIG, zodat wij bij afwijkingen tijdig kunnen rapporteren en eventuele bijstelling van de gemeentelijke begroting mogelijk is.</w:t>
            </w:r>
          </w:p>
        </w:tc>
        <w:tc>
          <w:tcPr>
            <w:tcW w:w="2068" w:type="dxa"/>
          </w:tcPr>
          <w:p w:rsidR="00C06125" w:rsidRPr="007D18D3" w:rsidRDefault="00C06125" w:rsidP="00C06125">
            <w:pPr>
              <w:rPr>
                <w:rFonts w:asciiTheme="minorHAnsi" w:hAnsiTheme="minorHAnsi" w:cstheme="minorHAnsi"/>
                <w:sz w:val="22"/>
                <w:szCs w:val="22"/>
              </w:rPr>
            </w:pPr>
            <w:r w:rsidRPr="007D18D3">
              <w:rPr>
                <w:rFonts w:asciiTheme="minorHAnsi" w:hAnsiTheme="minorHAnsi" w:cstheme="minorHAnsi"/>
                <w:sz w:val="22"/>
                <w:szCs w:val="22"/>
              </w:rPr>
              <w:t>Positieve zienswijze</w:t>
            </w:r>
          </w:p>
        </w:tc>
      </w:tr>
      <w:tr w:rsidR="006404FD" w:rsidRPr="007D18D3" w:rsidTr="008D7BC9">
        <w:tc>
          <w:tcPr>
            <w:tcW w:w="2263" w:type="dxa"/>
          </w:tcPr>
          <w:p w:rsidR="006404FD" w:rsidRPr="007D18D3" w:rsidRDefault="006404FD" w:rsidP="006404FD">
            <w:pPr>
              <w:rPr>
                <w:rFonts w:asciiTheme="minorHAnsi" w:hAnsiTheme="minorHAnsi" w:cstheme="minorHAnsi"/>
                <w:sz w:val="22"/>
                <w:szCs w:val="22"/>
              </w:rPr>
            </w:pPr>
            <w:r w:rsidRPr="007D18D3">
              <w:rPr>
                <w:rFonts w:asciiTheme="minorHAnsi" w:hAnsiTheme="minorHAnsi" w:cstheme="minorHAnsi"/>
                <w:sz w:val="22"/>
                <w:szCs w:val="22"/>
              </w:rPr>
              <w:t>West Betuwe</w:t>
            </w:r>
          </w:p>
        </w:tc>
        <w:tc>
          <w:tcPr>
            <w:tcW w:w="3402" w:type="dxa"/>
          </w:tcPr>
          <w:p w:rsidR="006404FD" w:rsidRPr="007D18D3" w:rsidRDefault="006404FD" w:rsidP="006404FD">
            <w:pPr>
              <w:rPr>
                <w:rFonts w:asciiTheme="minorHAnsi" w:hAnsiTheme="minorHAnsi" w:cstheme="minorHAnsi"/>
                <w:sz w:val="22"/>
                <w:szCs w:val="22"/>
              </w:rPr>
            </w:pPr>
            <w:r w:rsidRPr="007D18D3">
              <w:rPr>
                <w:rFonts w:asciiTheme="minorHAnsi" w:hAnsiTheme="minorHAnsi" w:cstheme="minorHAnsi"/>
                <w:sz w:val="22"/>
                <w:szCs w:val="22"/>
              </w:rPr>
              <w:t>-</w:t>
            </w:r>
          </w:p>
        </w:tc>
        <w:tc>
          <w:tcPr>
            <w:tcW w:w="3828" w:type="dxa"/>
          </w:tcPr>
          <w:p w:rsidR="006404FD" w:rsidRPr="007D18D3" w:rsidRDefault="006404FD" w:rsidP="006404FD">
            <w:pPr>
              <w:rPr>
                <w:rFonts w:asciiTheme="minorHAnsi" w:hAnsiTheme="minorHAnsi" w:cstheme="minorHAnsi"/>
                <w:sz w:val="22"/>
                <w:szCs w:val="22"/>
              </w:rPr>
            </w:pPr>
            <w:r w:rsidRPr="007D18D3">
              <w:rPr>
                <w:rFonts w:asciiTheme="minorHAnsi" w:hAnsiTheme="minorHAnsi" w:cstheme="minorHAnsi"/>
                <w:sz w:val="22"/>
                <w:szCs w:val="22"/>
              </w:rPr>
              <w:t>-</w:t>
            </w:r>
          </w:p>
        </w:tc>
        <w:tc>
          <w:tcPr>
            <w:tcW w:w="3827" w:type="dxa"/>
          </w:tcPr>
          <w:p w:rsidR="006404FD" w:rsidRPr="007D18D3" w:rsidRDefault="006404FD" w:rsidP="006404FD">
            <w:pPr>
              <w:rPr>
                <w:rFonts w:asciiTheme="minorHAnsi" w:hAnsiTheme="minorHAnsi" w:cstheme="minorHAnsi"/>
                <w:sz w:val="22"/>
                <w:szCs w:val="22"/>
              </w:rPr>
            </w:pPr>
            <w:r w:rsidRPr="007D18D3">
              <w:rPr>
                <w:rFonts w:asciiTheme="minorHAnsi" w:hAnsiTheme="minorHAnsi" w:cstheme="minorHAnsi"/>
                <w:sz w:val="22"/>
                <w:szCs w:val="22"/>
              </w:rPr>
              <w:t>-</w:t>
            </w:r>
          </w:p>
        </w:tc>
        <w:tc>
          <w:tcPr>
            <w:tcW w:w="2068" w:type="dxa"/>
          </w:tcPr>
          <w:p w:rsidR="006404FD" w:rsidRPr="007D18D3" w:rsidRDefault="006404FD" w:rsidP="006404FD">
            <w:pPr>
              <w:rPr>
                <w:rFonts w:asciiTheme="minorHAnsi" w:hAnsiTheme="minorHAnsi" w:cstheme="minorHAnsi"/>
                <w:sz w:val="22"/>
                <w:szCs w:val="22"/>
              </w:rPr>
            </w:pPr>
            <w:r w:rsidRPr="007D18D3">
              <w:rPr>
                <w:rFonts w:asciiTheme="minorHAnsi" w:hAnsiTheme="minorHAnsi" w:cstheme="minorHAnsi"/>
                <w:sz w:val="22"/>
                <w:szCs w:val="22"/>
              </w:rPr>
              <w:t>Positieve zienswijze</w:t>
            </w:r>
          </w:p>
        </w:tc>
      </w:tr>
      <w:tr w:rsidR="006404FD" w:rsidRPr="007D18D3" w:rsidTr="008D7BC9">
        <w:tc>
          <w:tcPr>
            <w:tcW w:w="2263" w:type="dxa"/>
          </w:tcPr>
          <w:p w:rsidR="006404FD" w:rsidRPr="007D18D3" w:rsidRDefault="006404FD" w:rsidP="006404FD">
            <w:pPr>
              <w:rPr>
                <w:rFonts w:asciiTheme="minorHAnsi" w:hAnsiTheme="minorHAnsi" w:cstheme="minorHAnsi"/>
                <w:sz w:val="22"/>
                <w:szCs w:val="22"/>
              </w:rPr>
            </w:pPr>
            <w:r w:rsidRPr="007D18D3">
              <w:rPr>
                <w:rFonts w:asciiTheme="minorHAnsi" w:hAnsiTheme="minorHAnsi" w:cstheme="minorHAnsi"/>
                <w:sz w:val="22"/>
                <w:szCs w:val="22"/>
              </w:rPr>
              <w:t>West Maas en Waal</w:t>
            </w:r>
          </w:p>
        </w:tc>
        <w:tc>
          <w:tcPr>
            <w:tcW w:w="3402" w:type="dxa"/>
          </w:tcPr>
          <w:p w:rsidR="006404FD" w:rsidRPr="007D18D3" w:rsidRDefault="006404FD" w:rsidP="006404FD">
            <w:pPr>
              <w:pStyle w:val="Lijstalinea"/>
              <w:numPr>
                <w:ilvl w:val="0"/>
                <w:numId w:val="8"/>
              </w:numPr>
              <w:ind w:left="325" w:hanging="284"/>
              <w:rPr>
                <w:rFonts w:asciiTheme="minorHAnsi" w:hAnsiTheme="minorHAnsi" w:cstheme="minorHAnsi"/>
                <w:sz w:val="22"/>
                <w:szCs w:val="22"/>
              </w:rPr>
            </w:pPr>
            <w:r w:rsidRPr="007D18D3">
              <w:rPr>
                <w:rFonts w:asciiTheme="minorHAnsi" w:hAnsiTheme="minorHAnsi" w:cstheme="minorHAnsi"/>
                <w:sz w:val="22"/>
                <w:szCs w:val="22"/>
              </w:rPr>
              <w:t xml:space="preserve">Wij stellen vast dat het Jaarverslag 2022 een waarheidsgetrouw beeld geeft van de behaalde ambities en doelstellingen. We stellen vast dat Werkzaak Rivierenland in </w:t>
            </w:r>
            <w:r w:rsidRPr="007D18D3">
              <w:rPr>
                <w:rFonts w:asciiTheme="minorHAnsi" w:hAnsiTheme="minorHAnsi" w:cstheme="minorHAnsi"/>
                <w:sz w:val="22"/>
                <w:szCs w:val="22"/>
              </w:rPr>
              <w:lastRenderedPageBreak/>
              <w:t xml:space="preserve">een lastige economische periode door de vinger nauwlettend aan de pols te houden een mooi rekeningsresultaat heeft behaald. </w:t>
            </w:r>
          </w:p>
          <w:p w:rsidR="006404FD" w:rsidRPr="007D18D3" w:rsidRDefault="006404FD" w:rsidP="006404FD">
            <w:pPr>
              <w:pStyle w:val="Lijstalinea"/>
              <w:numPr>
                <w:ilvl w:val="0"/>
                <w:numId w:val="8"/>
              </w:numPr>
              <w:ind w:left="325" w:hanging="284"/>
              <w:rPr>
                <w:rFonts w:asciiTheme="minorHAnsi" w:hAnsiTheme="minorHAnsi" w:cstheme="minorHAnsi"/>
                <w:sz w:val="22"/>
                <w:szCs w:val="22"/>
              </w:rPr>
            </w:pPr>
            <w:r w:rsidRPr="007D18D3">
              <w:rPr>
                <w:rFonts w:asciiTheme="minorHAnsi" w:hAnsiTheme="minorHAnsi" w:cstheme="minorHAnsi"/>
                <w:sz w:val="22"/>
                <w:szCs w:val="22"/>
              </w:rPr>
              <w:t>Het al jaren investeren in de relatie met de samenwerkings-partners (in te bijzonder de werkgevers) betaalt zich uit. Ook de focus op de kosten van de eigen organisatie werpt zijn vruchten af.</w:t>
            </w:r>
          </w:p>
        </w:tc>
        <w:tc>
          <w:tcPr>
            <w:tcW w:w="3828" w:type="dxa"/>
          </w:tcPr>
          <w:p w:rsidR="006404FD" w:rsidRPr="007D18D3" w:rsidRDefault="006404FD" w:rsidP="006404FD">
            <w:pPr>
              <w:rPr>
                <w:rFonts w:asciiTheme="minorHAnsi" w:hAnsiTheme="minorHAnsi" w:cstheme="minorHAnsi"/>
                <w:sz w:val="22"/>
                <w:szCs w:val="22"/>
              </w:rPr>
            </w:pPr>
          </w:p>
        </w:tc>
        <w:tc>
          <w:tcPr>
            <w:tcW w:w="3827" w:type="dxa"/>
          </w:tcPr>
          <w:p w:rsidR="006404FD" w:rsidRPr="007D18D3" w:rsidRDefault="006404FD" w:rsidP="006404FD">
            <w:pPr>
              <w:pStyle w:val="Lijstalinea"/>
              <w:numPr>
                <w:ilvl w:val="0"/>
                <w:numId w:val="12"/>
              </w:numPr>
              <w:ind w:left="324" w:hanging="284"/>
              <w:rPr>
                <w:rFonts w:asciiTheme="minorHAnsi" w:hAnsiTheme="minorHAnsi" w:cstheme="minorHAnsi"/>
                <w:sz w:val="22"/>
                <w:szCs w:val="22"/>
              </w:rPr>
            </w:pPr>
            <w:r w:rsidRPr="007D18D3">
              <w:rPr>
                <w:rFonts w:asciiTheme="minorHAnsi" w:hAnsiTheme="minorHAnsi" w:cstheme="minorHAnsi"/>
                <w:sz w:val="22"/>
                <w:szCs w:val="22"/>
              </w:rPr>
              <w:t xml:space="preserve">De cijfers geven per saldo een positief resultaat (ook voor de gemeente). Het subsidieresultaat ten opzichte van de Bestuursrapportage 2022 is fors voordeliger. De </w:t>
            </w:r>
            <w:r w:rsidRPr="007D18D3">
              <w:rPr>
                <w:rFonts w:asciiTheme="minorHAnsi" w:hAnsiTheme="minorHAnsi" w:cstheme="minorHAnsi"/>
                <w:sz w:val="22"/>
                <w:szCs w:val="22"/>
              </w:rPr>
              <w:lastRenderedPageBreak/>
              <w:t xml:space="preserve">Bedrijfsvoeringskosten zijn (ook weer afgezet de Bestuursrapportage) flink lager. De aanwezige reserves en voorzieningen (zoals onderhoud, personeel, inrichting Werkzaak, etc.) zijn ingezet voor de daarvoor bestemde doelen. Het investeringsprogramma is ook volgens planning opgepakt en in uitvoerig gebracht. </w:t>
            </w:r>
          </w:p>
          <w:p w:rsidR="006404FD" w:rsidRPr="007D18D3" w:rsidRDefault="006404FD" w:rsidP="006404FD">
            <w:pPr>
              <w:pStyle w:val="Lijstalinea"/>
              <w:numPr>
                <w:ilvl w:val="0"/>
                <w:numId w:val="12"/>
              </w:numPr>
              <w:ind w:left="324" w:hanging="284"/>
              <w:rPr>
                <w:rFonts w:asciiTheme="minorHAnsi" w:hAnsiTheme="minorHAnsi" w:cstheme="minorHAnsi"/>
                <w:sz w:val="22"/>
                <w:szCs w:val="22"/>
              </w:rPr>
            </w:pPr>
            <w:r w:rsidRPr="007D18D3">
              <w:rPr>
                <w:rFonts w:asciiTheme="minorHAnsi" w:hAnsiTheme="minorHAnsi" w:cstheme="minorHAnsi"/>
                <w:sz w:val="22"/>
                <w:szCs w:val="22"/>
              </w:rPr>
              <w:t xml:space="preserve">Het Jaarverslag 2022 leidt tot een eenmalig per saldo positief bedrijfsvoeringsresultaat van bijna € 1,575 milj.). </w:t>
            </w:r>
          </w:p>
          <w:p w:rsidR="006404FD" w:rsidRPr="007D18D3" w:rsidRDefault="006404FD" w:rsidP="006404FD">
            <w:pPr>
              <w:pStyle w:val="Lijstalinea"/>
              <w:numPr>
                <w:ilvl w:val="0"/>
                <w:numId w:val="12"/>
              </w:numPr>
              <w:ind w:left="324" w:hanging="284"/>
              <w:rPr>
                <w:rFonts w:asciiTheme="minorHAnsi" w:hAnsiTheme="minorHAnsi" w:cstheme="minorHAnsi"/>
                <w:sz w:val="22"/>
                <w:szCs w:val="22"/>
              </w:rPr>
            </w:pPr>
            <w:r w:rsidRPr="007D18D3">
              <w:rPr>
                <w:rFonts w:asciiTheme="minorHAnsi" w:hAnsiTheme="minorHAnsi" w:cstheme="minorHAnsi"/>
                <w:sz w:val="22"/>
                <w:szCs w:val="22"/>
              </w:rPr>
              <w:t>Verder spreken we onze waardering uit voor de wijze waarop de werkzaamheden bij Werkzaak Rivierenland zijn en worden opgepakt in deze economisch onzekere tijden.</w:t>
            </w:r>
          </w:p>
        </w:tc>
        <w:tc>
          <w:tcPr>
            <w:tcW w:w="2068" w:type="dxa"/>
          </w:tcPr>
          <w:p w:rsidR="006404FD" w:rsidRPr="007D18D3" w:rsidRDefault="006404FD" w:rsidP="006404FD">
            <w:pPr>
              <w:rPr>
                <w:rFonts w:asciiTheme="minorHAnsi" w:hAnsiTheme="minorHAnsi" w:cstheme="minorHAnsi"/>
                <w:sz w:val="22"/>
                <w:szCs w:val="22"/>
              </w:rPr>
            </w:pPr>
            <w:r w:rsidRPr="007D18D3">
              <w:rPr>
                <w:rFonts w:asciiTheme="minorHAnsi" w:hAnsiTheme="minorHAnsi" w:cstheme="minorHAnsi"/>
                <w:sz w:val="22"/>
                <w:szCs w:val="22"/>
              </w:rPr>
              <w:lastRenderedPageBreak/>
              <w:t>Instemming met de jaarrekening</w:t>
            </w:r>
          </w:p>
        </w:tc>
      </w:tr>
      <w:tr w:rsidR="006404FD" w:rsidRPr="00362799" w:rsidTr="008D7BC9">
        <w:tc>
          <w:tcPr>
            <w:tcW w:w="2263" w:type="dxa"/>
            <w:shd w:val="clear" w:color="auto" w:fill="auto"/>
          </w:tcPr>
          <w:p w:rsidR="006404FD" w:rsidRPr="007D18D3" w:rsidRDefault="006404FD" w:rsidP="006404FD">
            <w:pPr>
              <w:rPr>
                <w:rFonts w:asciiTheme="minorHAnsi" w:hAnsiTheme="minorHAnsi" w:cstheme="minorHAnsi"/>
                <w:sz w:val="22"/>
                <w:szCs w:val="22"/>
              </w:rPr>
            </w:pPr>
            <w:r w:rsidRPr="007D18D3">
              <w:rPr>
                <w:rFonts w:asciiTheme="minorHAnsi" w:hAnsiTheme="minorHAnsi" w:cstheme="minorHAnsi"/>
                <w:sz w:val="22"/>
                <w:szCs w:val="22"/>
              </w:rPr>
              <w:t>Zaltbommel</w:t>
            </w:r>
          </w:p>
        </w:tc>
        <w:tc>
          <w:tcPr>
            <w:tcW w:w="3402" w:type="dxa"/>
            <w:shd w:val="clear" w:color="auto" w:fill="auto"/>
          </w:tcPr>
          <w:p w:rsidR="006404FD" w:rsidRPr="007D18D3" w:rsidRDefault="006404FD" w:rsidP="006404FD">
            <w:pPr>
              <w:pStyle w:val="Default"/>
              <w:numPr>
                <w:ilvl w:val="0"/>
                <w:numId w:val="9"/>
              </w:numPr>
              <w:ind w:left="325" w:hanging="284"/>
              <w:rPr>
                <w:rFonts w:asciiTheme="minorHAnsi" w:hAnsiTheme="minorHAnsi" w:cstheme="minorHAnsi"/>
                <w:sz w:val="22"/>
                <w:szCs w:val="22"/>
              </w:rPr>
            </w:pPr>
            <w:r w:rsidRPr="007D18D3">
              <w:rPr>
                <w:rFonts w:asciiTheme="minorHAnsi" w:hAnsiTheme="minorHAnsi" w:cstheme="minorHAnsi"/>
                <w:sz w:val="22"/>
                <w:szCs w:val="22"/>
              </w:rPr>
              <w:t xml:space="preserve">U geeft aan dat het cliëntenbestand complexer wordt, een grotere afstand tot de arbeidsmarkt heeft en daardoor steeds moeilijker te begeleiden is naar werk. We zijn tevreden over de stappen die u onderneemt om deze doelgroep ook in de toekomst goed naar werk te kunnen blijven begeleiden. Blijf investeren in de doorontwikkeling van deze </w:t>
            </w:r>
            <w:r w:rsidRPr="007D18D3">
              <w:rPr>
                <w:rFonts w:asciiTheme="minorHAnsi" w:hAnsiTheme="minorHAnsi" w:cstheme="minorHAnsi"/>
                <w:sz w:val="22"/>
                <w:szCs w:val="22"/>
              </w:rPr>
              <w:lastRenderedPageBreak/>
              <w:t xml:space="preserve">doelgroep en in de samenwerking met de afdelingen Schuldhulpverlening, Bijzondere Bijstand, Wmo en het Buurtteam van de gemeente Zaltbommel. Professionals binnen de gemeente bedienen in veel gevallen, dezelfde doelgroep. </w:t>
            </w:r>
          </w:p>
          <w:p w:rsidR="006404FD" w:rsidRPr="007D18D3" w:rsidRDefault="006404FD" w:rsidP="006404FD">
            <w:pPr>
              <w:pStyle w:val="Default"/>
              <w:numPr>
                <w:ilvl w:val="0"/>
                <w:numId w:val="9"/>
              </w:numPr>
              <w:ind w:left="325" w:hanging="284"/>
              <w:rPr>
                <w:rFonts w:asciiTheme="minorHAnsi" w:hAnsiTheme="minorHAnsi" w:cstheme="minorHAnsi"/>
                <w:sz w:val="22"/>
                <w:szCs w:val="22"/>
              </w:rPr>
            </w:pPr>
            <w:r w:rsidRPr="007D18D3">
              <w:rPr>
                <w:rFonts w:asciiTheme="minorHAnsi" w:hAnsiTheme="minorHAnsi" w:cstheme="minorHAnsi"/>
                <w:sz w:val="22"/>
                <w:szCs w:val="22"/>
              </w:rPr>
              <w:t>Ook geeft u aan dat de instroom van statushouders blijft toenemen en het lastig is om hen naar betaald werk te begeleiden. Graag volgen wij deze ontwikkeling en vragen u om in het vervolg deze specifieke doelgroep, cijfermatig inzichtelijk te maken.</w:t>
            </w:r>
          </w:p>
        </w:tc>
        <w:tc>
          <w:tcPr>
            <w:tcW w:w="3828" w:type="dxa"/>
            <w:shd w:val="clear" w:color="auto" w:fill="auto"/>
          </w:tcPr>
          <w:p w:rsidR="006404FD" w:rsidRPr="007D18D3" w:rsidRDefault="006404FD" w:rsidP="006404FD">
            <w:pPr>
              <w:pStyle w:val="Lijstalinea"/>
              <w:numPr>
                <w:ilvl w:val="0"/>
                <w:numId w:val="10"/>
              </w:numPr>
              <w:ind w:left="463" w:hanging="283"/>
              <w:rPr>
                <w:rFonts w:asciiTheme="minorHAnsi" w:hAnsiTheme="minorHAnsi" w:cstheme="minorHAnsi"/>
                <w:sz w:val="22"/>
                <w:szCs w:val="22"/>
              </w:rPr>
            </w:pPr>
            <w:r w:rsidRPr="007D18D3">
              <w:rPr>
                <w:rFonts w:asciiTheme="minorHAnsi" w:hAnsiTheme="minorHAnsi" w:cstheme="minorHAnsi"/>
                <w:sz w:val="22"/>
                <w:szCs w:val="22"/>
              </w:rPr>
              <w:lastRenderedPageBreak/>
              <w:t>U heeft 3 van de 4 beleidsdoelstellingen behaald en presteert als het gaat om uitstroomcijfers zelfs boven het landelijk gemiddelde. Onze complimenten voor deze prestatie. De doelstelling m.b.t. het instroompercentage is niet behaald. U geeft aan dat dit hoofdzakelijk te maken heeft met de gestegen instroom van statushouders.</w:t>
            </w:r>
          </w:p>
        </w:tc>
        <w:tc>
          <w:tcPr>
            <w:tcW w:w="3827" w:type="dxa"/>
            <w:shd w:val="clear" w:color="auto" w:fill="auto"/>
          </w:tcPr>
          <w:p w:rsidR="006404FD" w:rsidRPr="007D18D3" w:rsidRDefault="006404FD" w:rsidP="006404FD">
            <w:pPr>
              <w:pStyle w:val="Lijstalinea"/>
              <w:numPr>
                <w:ilvl w:val="0"/>
                <w:numId w:val="11"/>
              </w:numPr>
              <w:ind w:left="324" w:hanging="284"/>
              <w:rPr>
                <w:rFonts w:asciiTheme="minorHAnsi" w:hAnsiTheme="minorHAnsi" w:cstheme="minorHAnsi"/>
                <w:sz w:val="22"/>
                <w:szCs w:val="22"/>
              </w:rPr>
            </w:pPr>
            <w:r w:rsidRPr="007D18D3">
              <w:rPr>
                <w:rFonts w:asciiTheme="minorHAnsi" w:hAnsiTheme="minorHAnsi" w:cstheme="minorHAnsi"/>
                <w:sz w:val="22"/>
                <w:szCs w:val="22"/>
              </w:rPr>
              <w:t>De Jaarstukken 2022 laten een grote afwijking zien ten opzichte van de oorspronkelijke begroting. Dit is al meerdere jaren het geval. We snappen dat de werkzaamheden en uitgaven conjunctuur gevoelig zijn, maar verzoeken u om dit beter te monitoren en tijdig bij te sturen.</w:t>
            </w:r>
          </w:p>
        </w:tc>
        <w:tc>
          <w:tcPr>
            <w:tcW w:w="2068" w:type="dxa"/>
            <w:shd w:val="clear" w:color="auto" w:fill="auto"/>
          </w:tcPr>
          <w:p w:rsidR="006404FD" w:rsidRPr="00362799" w:rsidRDefault="006404FD" w:rsidP="006404FD">
            <w:pPr>
              <w:rPr>
                <w:rFonts w:asciiTheme="minorHAnsi" w:hAnsiTheme="minorHAnsi" w:cstheme="minorHAnsi"/>
                <w:sz w:val="22"/>
                <w:szCs w:val="22"/>
              </w:rPr>
            </w:pPr>
            <w:r w:rsidRPr="007D18D3">
              <w:rPr>
                <w:rFonts w:asciiTheme="minorHAnsi" w:hAnsiTheme="minorHAnsi" w:cstheme="minorHAnsi"/>
                <w:sz w:val="22"/>
                <w:szCs w:val="22"/>
              </w:rPr>
              <w:t>Instemming met de jaarrekening</w:t>
            </w:r>
          </w:p>
        </w:tc>
      </w:tr>
    </w:tbl>
    <w:p w:rsidR="00BC4165" w:rsidRDefault="00BC4165" w:rsidP="00C617B4"/>
    <w:sectPr w:rsidR="00BC4165" w:rsidSect="002009B7">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37" w:rsidRDefault="006E5B37" w:rsidP="006E5B37">
      <w:r>
        <w:separator/>
      </w:r>
    </w:p>
  </w:endnote>
  <w:endnote w:type="continuationSeparator" w:id="0">
    <w:p w:rsidR="006E5B37" w:rsidRDefault="006E5B37" w:rsidP="006E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039031"/>
      <w:docPartObj>
        <w:docPartGallery w:val="Page Numbers (Bottom of Page)"/>
        <w:docPartUnique/>
      </w:docPartObj>
    </w:sdtPr>
    <w:sdtEndPr/>
    <w:sdtContent>
      <w:p w:rsidR="006E5B37" w:rsidRDefault="006E5B37">
        <w:pPr>
          <w:pStyle w:val="Voettekst"/>
          <w:jc w:val="center"/>
        </w:pPr>
        <w:r>
          <w:fldChar w:fldCharType="begin"/>
        </w:r>
        <w:r>
          <w:instrText>PAGE   \* MERGEFORMAT</w:instrText>
        </w:r>
        <w:r>
          <w:fldChar w:fldCharType="separate"/>
        </w:r>
        <w:r w:rsidR="00A05635">
          <w:rPr>
            <w:noProof/>
          </w:rPr>
          <w:t>1</w:t>
        </w:r>
        <w:r>
          <w:fldChar w:fldCharType="end"/>
        </w:r>
      </w:p>
    </w:sdtContent>
  </w:sdt>
  <w:p w:rsidR="006E5B37" w:rsidRDefault="006E5B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37" w:rsidRDefault="006E5B37" w:rsidP="006E5B37">
      <w:r>
        <w:separator/>
      </w:r>
    </w:p>
  </w:footnote>
  <w:footnote w:type="continuationSeparator" w:id="0">
    <w:p w:rsidR="006E5B37" w:rsidRDefault="006E5B37" w:rsidP="006E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37" w:rsidRPr="006E5B37" w:rsidRDefault="00A05635">
    <w:pPr>
      <w:pStyle w:val="Koptekst"/>
      <w:rPr>
        <w:rFonts w:asciiTheme="minorHAnsi" w:hAnsiTheme="minorHAnsi" w:cstheme="minorHAnsi"/>
        <w:b/>
        <w:sz w:val="24"/>
        <w:szCs w:val="24"/>
      </w:rPr>
    </w:pPr>
    <w:r>
      <w:rPr>
        <w:rFonts w:asciiTheme="minorHAnsi" w:hAnsiTheme="minorHAnsi" w:cstheme="minorHAnsi"/>
        <w:b/>
        <w:sz w:val="24"/>
        <w:szCs w:val="24"/>
      </w:rPr>
      <w:t>A</w:t>
    </w:r>
    <w:r w:rsidR="006E5B37" w:rsidRPr="006E5B37">
      <w:rPr>
        <w:rFonts w:asciiTheme="minorHAnsi" w:hAnsiTheme="minorHAnsi" w:cstheme="minorHAnsi"/>
        <w:b/>
        <w:sz w:val="24"/>
        <w:szCs w:val="24"/>
      </w:rPr>
      <w:t>B202307</w:t>
    </w:r>
    <w:r w:rsidR="00793494">
      <w:rPr>
        <w:rFonts w:asciiTheme="minorHAnsi" w:hAnsiTheme="minorHAnsi" w:cstheme="minorHAnsi"/>
        <w:b/>
        <w:sz w:val="24"/>
        <w:szCs w:val="24"/>
      </w:rPr>
      <w:t>13</w:t>
    </w:r>
    <w:r w:rsidR="006E5B37" w:rsidRPr="006E5B37">
      <w:rPr>
        <w:rFonts w:asciiTheme="minorHAnsi" w:hAnsiTheme="minorHAnsi" w:cstheme="minorHAnsi"/>
        <w:b/>
        <w:sz w:val="24"/>
        <w:szCs w:val="24"/>
      </w:rPr>
      <w:t xml:space="preserve"> - 3a </w:t>
    </w:r>
    <w:r w:rsidR="00793494">
      <w:rPr>
        <w:rFonts w:asciiTheme="minorHAnsi" w:hAnsiTheme="minorHAnsi" w:cstheme="minorHAnsi"/>
        <w:b/>
        <w:sz w:val="24"/>
        <w:szCs w:val="24"/>
      </w:rPr>
      <w:t>1</w:t>
    </w:r>
    <w:r w:rsidR="006E5B37" w:rsidRPr="006E5B37">
      <w:rPr>
        <w:rFonts w:asciiTheme="minorHAnsi" w:hAnsiTheme="minorHAnsi" w:cstheme="minorHAnsi"/>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3116F"/>
    <w:multiLevelType w:val="hybridMultilevel"/>
    <w:tmpl w:val="E390A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477A26"/>
    <w:multiLevelType w:val="hybridMultilevel"/>
    <w:tmpl w:val="BB74C8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A133ED"/>
    <w:multiLevelType w:val="hybridMultilevel"/>
    <w:tmpl w:val="B714E8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604698"/>
    <w:multiLevelType w:val="hybridMultilevel"/>
    <w:tmpl w:val="FB30E8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5D57F4"/>
    <w:multiLevelType w:val="hybridMultilevel"/>
    <w:tmpl w:val="29EEE5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98693B"/>
    <w:multiLevelType w:val="hybridMultilevel"/>
    <w:tmpl w:val="455668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902611"/>
    <w:multiLevelType w:val="hybridMultilevel"/>
    <w:tmpl w:val="00AAB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FF4CEB"/>
    <w:multiLevelType w:val="hybridMultilevel"/>
    <w:tmpl w:val="00AAB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537801"/>
    <w:multiLevelType w:val="hybridMultilevel"/>
    <w:tmpl w:val="3FDC6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F94B83"/>
    <w:multiLevelType w:val="hybridMultilevel"/>
    <w:tmpl w:val="FB30E8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CB654E7"/>
    <w:multiLevelType w:val="hybridMultilevel"/>
    <w:tmpl w:val="29EEE5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053DB4"/>
    <w:multiLevelType w:val="hybridMultilevel"/>
    <w:tmpl w:val="D95050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BED180F"/>
    <w:multiLevelType w:val="hybridMultilevel"/>
    <w:tmpl w:val="E390A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FC57DA6"/>
    <w:multiLevelType w:val="hybridMultilevel"/>
    <w:tmpl w:val="BA6E7F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9"/>
  </w:num>
  <w:num w:numId="5">
    <w:abstractNumId w:val="0"/>
  </w:num>
  <w:num w:numId="6">
    <w:abstractNumId w:val="8"/>
  </w:num>
  <w:num w:numId="7">
    <w:abstractNumId w:val="1"/>
  </w:num>
  <w:num w:numId="8">
    <w:abstractNumId w:val="4"/>
  </w:num>
  <w:num w:numId="9">
    <w:abstractNumId w:val="11"/>
  </w:num>
  <w:num w:numId="10">
    <w:abstractNumId w:val="6"/>
  </w:num>
  <w:num w:numId="11">
    <w:abstractNumId w:val="7"/>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B7"/>
    <w:rsid w:val="000070C9"/>
    <w:rsid w:val="00054726"/>
    <w:rsid w:val="00054FB3"/>
    <w:rsid w:val="00097FE3"/>
    <w:rsid w:val="00190FC1"/>
    <w:rsid w:val="001A1E2A"/>
    <w:rsid w:val="002009B7"/>
    <w:rsid w:val="00273CD1"/>
    <w:rsid w:val="0031704C"/>
    <w:rsid w:val="0035299F"/>
    <w:rsid w:val="0036053D"/>
    <w:rsid w:val="00362799"/>
    <w:rsid w:val="003E35D0"/>
    <w:rsid w:val="004A0707"/>
    <w:rsid w:val="004D4977"/>
    <w:rsid w:val="005265F3"/>
    <w:rsid w:val="005607C4"/>
    <w:rsid w:val="00587C6A"/>
    <w:rsid w:val="005A1430"/>
    <w:rsid w:val="005B7BC0"/>
    <w:rsid w:val="0060166F"/>
    <w:rsid w:val="006404FD"/>
    <w:rsid w:val="006B0796"/>
    <w:rsid w:val="006C0FE9"/>
    <w:rsid w:val="006C1554"/>
    <w:rsid w:val="006C79B2"/>
    <w:rsid w:val="006E5B37"/>
    <w:rsid w:val="006E6F6B"/>
    <w:rsid w:val="00793494"/>
    <w:rsid w:val="007D18D3"/>
    <w:rsid w:val="007E6F3B"/>
    <w:rsid w:val="00831FA1"/>
    <w:rsid w:val="00881BB5"/>
    <w:rsid w:val="00885875"/>
    <w:rsid w:val="0089174E"/>
    <w:rsid w:val="008C3ACB"/>
    <w:rsid w:val="008D7BC9"/>
    <w:rsid w:val="008F074B"/>
    <w:rsid w:val="008F59A2"/>
    <w:rsid w:val="00A05635"/>
    <w:rsid w:val="00A31124"/>
    <w:rsid w:val="00A82447"/>
    <w:rsid w:val="00A96D6A"/>
    <w:rsid w:val="00B01EAA"/>
    <w:rsid w:val="00B05A9A"/>
    <w:rsid w:val="00B27263"/>
    <w:rsid w:val="00BB6F3A"/>
    <w:rsid w:val="00BC4165"/>
    <w:rsid w:val="00BC5ACB"/>
    <w:rsid w:val="00C06125"/>
    <w:rsid w:val="00C41AC6"/>
    <w:rsid w:val="00C507A2"/>
    <w:rsid w:val="00C617B4"/>
    <w:rsid w:val="00C81BC5"/>
    <w:rsid w:val="00C934F5"/>
    <w:rsid w:val="00CB1E34"/>
    <w:rsid w:val="00D42E23"/>
    <w:rsid w:val="00D44836"/>
    <w:rsid w:val="00DD4F7A"/>
    <w:rsid w:val="00E6224E"/>
    <w:rsid w:val="00EA3BFE"/>
    <w:rsid w:val="00F15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190"/>
  <w15:chartTrackingRefBased/>
  <w15:docId w15:val="{58FC2628-B987-4AD3-8107-F5DAB27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09B7"/>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0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507A2"/>
    <w:pPr>
      <w:ind w:left="720"/>
      <w:contextualSpacing/>
    </w:pPr>
  </w:style>
  <w:style w:type="paragraph" w:styleId="Normaalweb">
    <w:name w:val="Normal (Web)"/>
    <w:basedOn w:val="Standaard"/>
    <w:uiPriority w:val="99"/>
    <w:unhideWhenUsed/>
    <w:rsid w:val="008C3ACB"/>
    <w:pPr>
      <w:spacing w:before="100" w:beforeAutospacing="1" w:after="100" w:afterAutospacing="1"/>
    </w:pPr>
    <w:rPr>
      <w:rFonts w:ascii="Times New Roman" w:hAnsi="Times New Roman"/>
      <w:sz w:val="24"/>
      <w:szCs w:val="24"/>
    </w:rPr>
  </w:style>
  <w:style w:type="paragraph" w:customStyle="1" w:styleId="Default">
    <w:name w:val="Default"/>
    <w:rsid w:val="00190FC1"/>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6E5B37"/>
    <w:pPr>
      <w:tabs>
        <w:tab w:val="center" w:pos="4536"/>
        <w:tab w:val="right" w:pos="9072"/>
      </w:tabs>
    </w:pPr>
  </w:style>
  <w:style w:type="character" w:customStyle="1" w:styleId="KoptekstChar">
    <w:name w:val="Koptekst Char"/>
    <w:basedOn w:val="Standaardalinea-lettertype"/>
    <w:link w:val="Koptekst"/>
    <w:uiPriority w:val="99"/>
    <w:rsid w:val="006E5B37"/>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6E5B37"/>
    <w:pPr>
      <w:tabs>
        <w:tab w:val="center" w:pos="4536"/>
        <w:tab w:val="right" w:pos="9072"/>
      </w:tabs>
    </w:pPr>
  </w:style>
  <w:style w:type="character" w:customStyle="1" w:styleId="VoettekstChar">
    <w:name w:val="Voettekst Char"/>
    <w:basedOn w:val="Standaardalinea-lettertype"/>
    <w:link w:val="Voettekst"/>
    <w:uiPriority w:val="99"/>
    <w:rsid w:val="006E5B37"/>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4395">
      <w:bodyDiv w:val="1"/>
      <w:marLeft w:val="0"/>
      <w:marRight w:val="0"/>
      <w:marTop w:val="0"/>
      <w:marBottom w:val="0"/>
      <w:divBdr>
        <w:top w:val="none" w:sz="0" w:space="0" w:color="auto"/>
        <w:left w:val="none" w:sz="0" w:space="0" w:color="auto"/>
        <w:bottom w:val="none" w:sz="0" w:space="0" w:color="auto"/>
        <w:right w:val="none" w:sz="0" w:space="0" w:color="auto"/>
      </w:divBdr>
    </w:div>
    <w:div w:id="622540112">
      <w:bodyDiv w:val="1"/>
      <w:marLeft w:val="0"/>
      <w:marRight w:val="0"/>
      <w:marTop w:val="0"/>
      <w:marBottom w:val="0"/>
      <w:divBdr>
        <w:top w:val="none" w:sz="0" w:space="0" w:color="auto"/>
        <w:left w:val="none" w:sz="0" w:space="0" w:color="auto"/>
        <w:bottom w:val="none" w:sz="0" w:space="0" w:color="auto"/>
        <w:right w:val="none" w:sz="0" w:space="0" w:color="auto"/>
      </w:divBdr>
    </w:div>
    <w:div w:id="832910683">
      <w:bodyDiv w:val="1"/>
      <w:marLeft w:val="0"/>
      <w:marRight w:val="0"/>
      <w:marTop w:val="0"/>
      <w:marBottom w:val="0"/>
      <w:divBdr>
        <w:top w:val="none" w:sz="0" w:space="0" w:color="auto"/>
        <w:left w:val="none" w:sz="0" w:space="0" w:color="auto"/>
        <w:bottom w:val="none" w:sz="0" w:space="0" w:color="auto"/>
        <w:right w:val="none" w:sz="0" w:space="0" w:color="auto"/>
      </w:divBdr>
    </w:div>
    <w:div w:id="1302464855">
      <w:bodyDiv w:val="1"/>
      <w:marLeft w:val="0"/>
      <w:marRight w:val="0"/>
      <w:marTop w:val="0"/>
      <w:marBottom w:val="0"/>
      <w:divBdr>
        <w:top w:val="none" w:sz="0" w:space="0" w:color="auto"/>
        <w:left w:val="none" w:sz="0" w:space="0" w:color="auto"/>
        <w:bottom w:val="none" w:sz="0" w:space="0" w:color="auto"/>
        <w:right w:val="none" w:sz="0" w:space="0" w:color="auto"/>
      </w:divBdr>
    </w:div>
    <w:div w:id="18165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6832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Bergevoet</dc:creator>
  <cp:keywords/>
  <dc:description/>
  <cp:lastModifiedBy>Jeannet Kornelis</cp:lastModifiedBy>
  <cp:revision>8</cp:revision>
  <dcterms:created xsi:type="dcterms:W3CDTF">2023-06-21T11:33:00Z</dcterms:created>
  <dcterms:modified xsi:type="dcterms:W3CDTF">2023-07-07T07:29:00Z</dcterms:modified>
</cp:coreProperties>
</file>