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4323"/>
        <w:gridCol w:w="2273"/>
        <w:gridCol w:w="3298"/>
      </w:tblGrid>
      <w:tr w:rsidR="001B2BCB" w:rsidRPr="00EA30C2" w:rsidTr="006D3D1B">
        <w:trPr>
          <w:cantSplit/>
          <w:trHeight w:hRule="exact" w:val="900"/>
        </w:trPr>
        <w:tc>
          <w:tcPr>
            <w:tcW w:w="9894" w:type="dxa"/>
            <w:gridSpan w:val="3"/>
          </w:tcPr>
          <w:p w:rsidR="001B2BCB" w:rsidRPr="00D312F4" w:rsidRDefault="008E2FF9" w:rsidP="00CC68C9">
            <w:pPr>
              <w:spacing w:line="240" w:lineRule="atLeast"/>
              <w:jc w:val="left"/>
              <w:rPr>
                <w:rStyle w:val="refkop"/>
                <w:rFonts w:ascii="Calibri" w:hAnsi="Calibri" w:cs="Arial"/>
                <w:b/>
                <w:color w:val="009FE3"/>
                <w:sz w:val="22"/>
                <w:szCs w:val="22"/>
              </w:rPr>
            </w:pPr>
            <w:bookmarkStart w:id="0" w:name="blwhaalonderwerp"/>
            <w:bookmarkStart w:id="1" w:name="_MacBuGuideStaticData_1420V"/>
            <w:bookmarkStart w:id="2" w:name="_GoBack"/>
            <w:bookmarkEnd w:id="2"/>
            <w:r w:rsidRPr="00D312F4">
              <w:rPr>
                <w:rStyle w:val="refkop"/>
                <w:rFonts w:ascii="Calibri" w:hAnsi="Calibri" w:cs="Arial"/>
                <w:b/>
                <w:color w:val="009FE3"/>
                <w:sz w:val="22"/>
                <w:szCs w:val="22"/>
              </w:rPr>
              <w:t>ONDERWERP</w:t>
            </w:r>
            <w:r w:rsidR="00442C11" w:rsidRPr="00D312F4">
              <w:rPr>
                <w:rStyle w:val="refkop"/>
                <w:rFonts w:ascii="Calibri" w:hAnsi="Calibri" w:cs="Arial"/>
                <w:b/>
                <w:color w:val="009FE3"/>
                <w:sz w:val="22"/>
                <w:szCs w:val="22"/>
              </w:rPr>
              <w:t xml:space="preserve"> </w:t>
            </w:r>
            <w:bookmarkStart w:id="3" w:name="blwOnderwerp"/>
            <w:bookmarkEnd w:id="3"/>
          </w:p>
          <w:p w:rsidR="00B613BA" w:rsidRPr="00B613BA" w:rsidRDefault="00E55C6B" w:rsidP="00B613BA">
            <w:pPr>
              <w:spacing w:line="240" w:lineRule="atLeast"/>
              <w:jc w:val="left"/>
              <w:rPr>
                <w:rFonts w:ascii="Calibri" w:hAnsi="Calibri" w:cs="Arial"/>
                <w:sz w:val="22"/>
                <w:szCs w:val="22"/>
              </w:rPr>
            </w:pPr>
            <w:r>
              <w:rPr>
                <w:rFonts w:ascii="Calibri" w:hAnsi="Calibri" w:cs="Arial"/>
                <w:sz w:val="22"/>
                <w:szCs w:val="22"/>
              </w:rPr>
              <w:t xml:space="preserve">Nieuwe opzet </w:t>
            </w:r>
            <w:r w:rsidR="00B613BA" w:rsidRPr="00B613BA">
              <w:rPr>
                <w:rFonts w:ascii="Calibri" w:hAnsi="Calibri" w:cs="Arial"/>
                <w:sz w:val="22"/>
                <w:szCs w:val="22"/>
              </w:rPr>
              <w:t>rapportages</w:t>
            </w:r>
          </w:p>
          <w:p w:rsidR="00CE575D" w:rsidRPr="00B613BA" w:rsidRDefault="00CE575D" w:rsidP="00B613BA">
            <w:pPr>
              <w:spacing w:line="240" w:lineRule="atLeast"/>
              <w:jc w:val="left"/>
              <w:rPr>
                <w:rFonts w:ascii="Calibri" w:hAnsi="Calibri" w:cs="Arial"/>
                <w:sz w:val="22"/>
                <w:szCs w:val="22"/>
              </w:rPr>
            </w:pPr>
          </w:p>
        </w:tc>
      </w:tr>
      <w:tr w:rsidR="001B2BCB" w:rsidRPr="00EA30C2" w:rsidTr="006D3D1B">
        <w:trPr>
          <w:cantSplit/>
        </w:trPr>
        <w:tc>
          <w:tcPr>
            <w:tcW w:w="9894" w:type="dxa"/>
            <w:gridSpan w:val="3"/>
          </w:tcPr>
          <w:p w:rsidR="001B2BCB" w:rsidRPr="00EA30C2" w:rsidRDefault="001B2BCB" w:rsidP="00CC68C9">
            <w:pPr>
              <w:spacing w:line="240" w:lineRule="atLeast"/>
              <w:rPr>
                <w:rFonts w:ascii="Calibri" w:hAnsi="Calibri" w:cs="Arial"/>
                <w:sz w:val="22"/>
                <w:szCs w:val="22"/>
              </w:rPr>
            </w:pPr>
          </w:p>
        </w:tc>
      </w:tr>
      <w:tr w:rsidR="001B2BCB" w:rsidRPr="00EA30C2" w:rsidTr="006D3D1B">
        <w:trPr>
          <w:cantSplit/>
          <w:trHeight w:hRule="exact" w:val="1660"/>
        </w:trPr>
        <w:tc>
          <w:tcPr>
            <w:tcW w:w="9894" w:type="dxa"/>
            <w:gridSpan w:val="3"/>
          </w:tcPr>
          <w:p w:rsidR="001B2BCB" w:rsidRPr="00D312F4" w:rsidRDefault="008E2FF9" w:rsidP="00E90981">
            <w:pPr>
              <w:spacing w:line="240" w:lineRule="atLeast"/>
              <w:jc w:val="left"/>
              <w:rPr>
                <w:rStyle w:val="refkop"/>
                <w:rFonts w:ascii="Calibri" w:hAnsi="Calibri"/>
                <w:b/>
                <w:color w:val="009FE3"/>
                <w:sz w:val="22"/>
                <w:szCs w:val="22"/>
              </w:rPr>
            </w:pPr>
            <w:r w:rsidRPr="00D312F4">
              <w:rPr>
                <w:rStyle w:val="refkop"/>
                <w:rFonts w:ascii="Calibri" w:hAnsi="Calibri"/>
                <w:b/>
                <w:color w:val="009FE3"/>
                <w:sz w:val="22"/>
                <w:szCs w:val="22"/>
              </w:rPr>
              <w:t>BESLISPUNTEN</w:t>
            </w:r>
          </w:p>
          <w:p w:rsidR="00D34220" w:rsidRPr="00711F74" w:rsidRDefault="00711F74" w:rsidP="00711F74">
            <w:pPr>
              <w:numPr>
                <w:ilvl w:val="0"/>
                <w:numId w:val="2"/>
              </w:numPr>
              <w:spacing w:line="240" w:lineRule="atLeast"/>
              <w:jc w:val="left"/>
              <w:rPr>
                <w:rFonts w:asciiTheme="minorHAnsi" w:hAnsiTheme="minorHAnsi" w:cstheme="minorHAnsi"/>
                <w:sz w:val="22"/>
                <w:szCs w:val="22"/>
              </w:rPr>
            </w:pPr>
            <w:bookmarkStart w:id="4" w:name="blwsamengevat"/>
            <w:bookmarkEnd w:id="4"/>
            <w:r w:rsidRPr="003659F2">
              <w:rPr>
                <w:rFonts w:asciiTheme="minorHAnsi" w:hAnsiTheme="minorHAnsi" w:cstheme="minorHAnsi"/>
                <w:sz w:val="22"/>
                <w:szCs w:val="22"/>
              </w:rPr>
              <w:t>Akkoo</w:t>
            </w:r>
            <w:r w:rsidR="00E55C6B">
              <w:rPr>
                <w:rFonts w:asciiTheme="minorHAnsi" w:hAnsiTheme="minorHAnsi" w:cstheme="minorHAnsi"/>
                <w:sz w:val="22"/>
                <w:szCs w:val="22"/>
              </w:rPr>
              <w:t xml:space="preserve">rd </w:t>
            </w:r>
            <w:r w:rsidR="009D78EB">
              <w:rPr>
                <w:rFonts w:asciiTheme="minorHAnsi" w:hAnsiTheme="minorHAnsi" w:cstheme="minorHAnsi"/>
                <w:sz w:val="22"/>
                <w:szCs w:val="22"/>
              </w:rPr>
              <w:t xml:space="preserve">te gaan met bijgevoegde </w:t>
            </w:r>
            <w:r w:rsidRPr="003659F2">
              <w:rPr>
                <w:rFonts w:asciiTheme="minorHAnsi" w:hAnsiTheme="minorHAnsi" w:cstheme="minorHAnsi"/>
                <w:sz w:val="22"/>
                <w:szCs w:val="22"/>
              </w:rPr>
              <w:t xml:space="preserve">rapportage en volgens dit model </w:t>
            </w:r>
            <w:r w:rsidR="009D78EB">
              <w:rPr>
                <w:rFonts w:asciiTheme="minorHAnsi" w:hAnsiTheme="minorHAnsi" w:cstheme="minorHAnsi"/>
                <w:sz w:val="22"/>
                <w:szCs w:val="22"/>
              </w:rPr>
              <w:t>twee</w:t>
            </w:r>
            <w:r w:rsidRPr="003659F2">
              <w:rPr>
                <w:rFonts w:asciiTheme="minorHAnsi" w:hAnsiTheme="minorHAnsi" w:cstheme="minorHAnsi"/>
                <w:sz w:val="22"/>
                <w:szCs w:val="22"/>
              </w:rPr>
              <w:t>maan</w:t>
            </w:r>
            <w:r w:rsidR="00E6745A">
              <w:rPr>
                <w:rFonts w:asciiTheme="minorHAnsi" w:hAnsiTheme="minorHAnsi" w:cstheme="minorHAnsi"/>
                <w:sz w:val="22"/>
                <w:szCs w:val="22"/>
              </w:rPr>
              <w:t xml:space="preserve">delijks uitbrengen van deze </w:t>
            </w:r>
            <w:r w:rsidRPr="003659F2">
              <w:rPr>
                <w:rFonts w:asciiTheme="minorHAnsi" w:hAnsiTheme="minorHAnsi" w:cstheme="minorHAnsi"/>
                <w:sz w:val="22"/>
                <w:szCs w:val="22"/>
              </w:rPr>
              <w:t>rapportage</w:t>
            </w:r>
          </w:p>
        </w:tc>
      </w:tr>
      <w:tr w:rsidR="001B2BCB" w:rsidRPr="00EA30C2" w:rsidTr="006D3D1B">
        <w:trPr>
          <w:cantSplit/>
        </w:trPr>
        <w:tc>
          <w:tcPr>
            <w:tcW w:w="9894" w:type="dxa"/>
            <w:gridSpan w:val="3"/>
          </w:tcPr>
          <w:p w:rsidR="001B2BCB" w:rsidRPr="00EA30C2" w:rsidRDefault="00A22A49" w:rsidP="00CC68C9">
            <w:pPr>
              <w:spacing w:line="240" w:lineRule="atLeast"/>
              <w:rPr>
                <w:rFonts w:ascii="Calibri" w:hAnsi="Calibri" w:cs="Arial"/>
                <w:sz w:val="22"/>
                <w:szCs w:val="22"/>
              </w:rPr>
            </w:pPr>
            <w:r w:rsidRPr="00EA30C2">
              <w:rPr>
                <w:rFonts w:ascii="Calibri" w:hAnsi="Calibri" w:cs="Arial"/>
                <w:sz w:val="22"/>
                <w:szCs w:val="22"/>
              </w:rPr>
              <w:t xml:space="preserve"> </w:t>
            </w:r>
          </w:p>
        </w:tc>
      </w:tr>
      <w:bookmarkEnd w:id="0"/>
      <w:tr w:rsidR="0025796E" w:rsidRPr="00EA30C2" w:rsidTr="006D3D1B">
        <w:trPr>
          <w:cantSplit/>
          <w:trHeight w:hRule="exact" w:val="367"/>
        </w:trPr>
        <w:tc>
          <w:tcPr>
            <w:tcW w:w="4323"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Opgesteld door:</w:t>
            </w:r>
          </w:p>
        </w:tc>
        <w:tc>
          <w:tcPr>
            <w:tcW w:w="2273"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Datum:</w:t>
            </w:r>
          </w:p>
        </w:tc>
        <w:tc>
          <w:tcPr>
            <w:tcW w:w="3298"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 xml:space="preserve">Akkoord manager </w:t>
            </w:r>
          </w:p>
        </w:tc>
      </w:tr>
      <w:tr w:rsidR="0025796E" w:rsidRPr="00EA30C2" w:rsidTr="006D3D1B">
        <w:trPr>
          <w:cantSplit/>
          <w:trHeight w:hRule="exact" w:val="900"/>
        </w:trPr>
        <w:tc>
          <w:tcPr>
            <w:tcW w:w="4323" w:type="dxa"/>
          </w:tcPr>
          <w:p w:rsidR="0025796E" w:rsidRPr="00EA30C2" w:rsidRDefault="0025796E" w:rsidP="00A3730F">
            <w:pPr>
              <w:spacing w:line="240" w:lineRule="atLeast"/>
              <w:jc w:val="left"/>
              <w:rPr>
                <w:rFonts w:ascii="Calibri" w:hAnsi="Calibri" w:cs="Arial"/>
                <w:sz w:val="22"/>
                <w:szCs w:val="22"/>
              </w:rPr>
            </w:pPr>
          </w:p>
        </w:tc>
        <w:tc>
          <w:tcPr>
            <w:tcW w:w="2273" w:type="dxa"/>
          </w:tcPr>
          <w:p w:rsidR="0025796E" w:rsidRPr="00EA30C2" w:rsidRDefault="0025796E" w:rsidP="00A3730F">
            <w:pPr>
              <w:spacing w:line="240" w:lineRule="atLeast"/>
              <w:jc w:val="left"/>
              <w:rPr>
                <w:rFonts w:ascii="Calibri" w:hAnsi="Calibri" w:cs="Arial"/>
                <w:sz w:val="22"/>
                <w:szCs w:val="22"/>
              </w:rPr>
            </w:pPr>
          </w:p>
        </w:tc>
        <w:tc>
          <w:tcPr>
            <w:tcW w:w="3298" w:type="dxa"/>
          </w:tcPr>
          <w:p w:rsidR="0025796E" w:rsidRPr="00EA30C2" w:rsidRDefault="0025796E" w:rsidP="00A3730F">
            <w:pPr>
              <w:spacing w:line="240" w:lineRule="atLeast"/>
              <w:jc w:val="left"/>
              <w:rPr>
                <w:rFonts w:ascii="Calibri" w:hAnsi="Calibri" w:cs="Arial"/>
                <w:sz w:val="22"/>
                <w:szCs w:val="22"/>
              </w:rPr>
            </w:pPr>
          </w:p>
        </w:tc>
      </w:tr>
      <w:tr w:rsidR="001B2BCB" w:rsidRPr="00EA30C2" w:rsidTr="006D3D1B">
        <w:trPr>
          <w:cantSplit/>
          <w:trHeight w:val="87"/>
        </w:trPr>
        <w:tc>
          <w:tcPr>
            <w:tcW w:w="9894" w:type="dxa"/>
            <w:gridSpan w:val="3"/>
          </w:tcPr>
          <w:p w:rsidR="001B2BCB" w:rsidRPr="00EA30C2" w:rsidRDefault="001B2BCB" w:rsidP="009C7247">
            <w:pPr>
              <w:rPr>
                <w:rFonts w:ascii="Calibri" w:hAnsi="Calibri" w:cs="Arial"/>
                <w:sz w:val="22"/>
                <w:szCs w:val="22"/>
              </w:rPr>
            </w:pPr>
            <w:r w:rsidRPr="00EA30C2">
              <w:rPr>
                <w:rFonts w:ascii="Calibri" w:hAnsi="Calibri" w:cs="Arial"/>
                <w:sz w:val="22"/>
                <w:szCs w:val="22"/>
              </w:rPr>
              <w:t>Vertrouwelijke behandeling</w:t>
            </w:r>
            <w:r w:rsidR="00E85D60">
              <w:rPr>
                <w:rFonts w:ascii="Calibri" w:hAnsi="Calibri" w:cs="Arial"/>
                <w:sz w:val="22"/>
                <w:szCs w:val="22"/>
              </w:rPr>
              <w:t xml:space="preserve">: </w:t>
            </w:r>
            <w:r w:rsidR="009C7247" w:rsidRPr="00EA30C2">
              <w:rPr>
                <w:rFonts w:ascii="Calibri" w:hAnsi="Calibri" w:cs="Arial"/>
                <w:sz w:val="22"/>
                <w:szCs w:val="22"/>
              </w:rPr>
              <w:t>nee</w:t>
            </w:r>
          </w:p>
          <w:p w:rsidR="00A22A49" w:rsidRPr="00EA30C2" w:rsidRDefault="00A22A49" w:rsidP="00185C1F">
            <w:pPr>
              <w:spacing w:line="200" w:lineRule="exact"/>
              <w:rPr>
                <w:rFonts w:ascii="Calibri" w:hAnsi="Calibri" w:cs="Arial"/>
                <w:b/>
                <w:sz w:val="22"/>
                <w:szCs w:val="22"/>
              </w:rPr>
            </w:pPr>
          </w:p>
        </w:tc>
      </w:tr>
    </w:tbl>
    <w:p w:rsidR="001B2BCB" w:rsidRPr="00EA30C2" w:rsidRDefault="001B2BCB" w:rsidP="00CC68C9">
      <w:pPr>
        <w:spacing w:line="240" w:lineRule="atLeast"/>
        <w:rPr>
          <w:rFonts w:ascii="Calibri" w:hAnsi="Calibri" w:cs="Arial"/>
          <w:sz w:val="22"/>
          <w:szCs w:val="22"/>
        </w:rPr>
      </w:pPr>
    </w:p>
    <w:p w:rsidR="001B2BCB" w:rsidRPr="00EA30C2" w:rsidRDefault="001B2BCB" w:rsidP="00CC68C9">
      <w:pPr>
        <w:spacing w:line="240" w:lineRule="atLeast"/>
        <w:rPr>
          <w:rFonts w:ascii="Calibri" w:hAnsi="Calibri" w:cs="Arial"/>
          <w:sz w:val="22"/>
          <w:szCs w:val="22"/>
        </w:rPr>
      </w:pPr>
    </w:p>
    <w:tbl>
      <w:tblPr>
        <w:tblW w:w="9898" w:type="dxa"/>
        <w:tblInd w:w="3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299"/>
        <w:gridCol w:w="3299"/>
        <w:gridCol w:w="3300"/>
      </w:tblGrid>
      <w:tr w:rsidR="00432E75" w:rsidRPr="00EA30C2" w:rsidTr="006D3D1B">
        <w:tc>
          <w:tcPr>
            <w:tcW w:w="9898" w:type="dxa"/>
            <w:gridSpan w:val="3"/>
            <w:shd w:val="clear" w:color="auto" w:fill="auto"/>
          </w:tcPr>
          <w:p w:rsidR="00432E75" w:rsidRPr="00EA30C2" w:rsidRDefault="00432E75" w:rsidP="006B1DA3">
            <w:pPr>
              <w:spacing w:line="200" w:lineRule="exact"/>
              <w:rPr>
                <w:rStyle w:val="refkop"/>
                <w:rFonts w:ascii="Calibri" w:hAnsi="Calibri" w:cs="Arial"/>
                <w:sz w:val="22"/>
                <w:szCs w:val="22"/>
              </w:rPr>
            </w:pPr>
            <w:r w:rsidRPr="00EA30C2">
              <w:rPr>
                <w:rStyle w:val="refkop"/>
                <w:rFonts w:ascii="Calibri" w:hAnsi="Calibri" w:cs="Arial"/>
                <w:sz w:val="22"/>
                <w:szCs w:val="22"/>
              </w:rPr>
              <w:t xml:space="preserve">Overleg gepleegd met: </w:t>
            </w:r>
          </w:p>
          <w:p w:rsidR="00A22A49" w:rsidRPr="00EA30C2" w:rsidRDefault="00A22A49" w:rsidP="006B1DA3">
            <w:pPr>
              <w:spacing w:line="200" w:lineRule="exact"/>
              <w:rPr>
                <w:rStyle w:val="refkop"/>
                <w:rFonts w:ascii="Calibri" w:hAnsi="Calibri" w:cs="Arial"/>
                <w:sz w:val="22"/>
                <w:szCs w:val="22"/>
              </w:rPr>
            </w:pPr>
          </w:p>
        </w:tc>
      </w:tr>
      <w:tr w:rsidR="00C87629" w:rsidRPr="00EA30C2" w:rsidTr="006D3D1B">
        <w:tc>
          <w:tcPr>
            <w:tcW w:w="3299" w:type="dxa"/>
            <w:shd w:val="clear" w:color="auto" w:fill="auto"/>
          </w:tcPr>
          <w:p w:rsidR="00C87629" w:rsidRPr="00EA30C2" w:rsidRDefault="00C87629" w:rsidP="006B1DA3">
            <w:pPr>
              <w:spacing w:line="200" w:lineRule="exact"/>
              <w:rPr>
                <w:rStyle w:val="refkop"/>
                <w:rFonts w:ascii="Calibri" w:hAnsi="Calibri" w:cs="Arial"/>
                <w:sz w:val="22"/>
                <w:szCs w:val="22"/>
              </w:rPr>
            </w:pPr>
          </w:p>
          <w:p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Ondernemingsraad</w:t>
            </w:r>
          </w:p>
          <w:p w:rsidR="00C87629" w:rsidRPr="00EA30C2" w:rsidRDefault="00C87629" w:rsidP="006B1DA3">
            <w:pPr>
              <w:spacing w:line="200" w:lineRule="exact"/>
              <w:rPr>
                <w:rStyle w:val="refkop"/>
                <w:rFonts w:ascii="Calibri" w:hAnsi="Calibri" w:cs="Arial"/>
                <w:sz w:val="22"/>
                <w:szCs w:val="22"/>
              </w:rPr>
            </w:pPr>
          </w:p>
        </w:tc>
        <w:tc>
          <w:tcPr>
            <w:tcW w:w="3299" w:type="dxa"/>
            <w:shd w:val="clear" w:color="auto" w:fill="auto"/>
          </w:tcPr>
          <w:p w:rsidR="00C87629" w:rsidRPr="00EA30C2" w:rsidRDefault="00C87629" w:rsidP="006B1DA3">
            <w:pPr>
              <w:spacing w:line="200" w:lineRule="exact"/>
              <w:rPr>
                <w:rStyle w:val="refkop"/>
                <w:rFonts w:ascii="Calibri" w:hAnsi="Calibri" w:cs="Arial"/>
                <w:sz w:val="22"/>
                <w:szCs w:val="22"/>
              </w:rPr>
            </w:pPr>
          </w:p>
          <w:p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 xml:space="preserve">Cliëntenraad </w:t>
            </w:r>
          </w:p>
          <w:p w:rsidR="00C87629" w:rsidRPr="00EA30C2" w:rsidRDefault="00C87629" w:rsidP="006B1DA3">
            <w:pPr>
              <w:spacing w:line="200" w:lineRule="exact"/>
              <w:rPr>
                <w:rStyle w:val="refkop"/>
                <w:rFonts w:ascii="Calibri" w:hAnsi="Calibri" w:cs="Arial"/>
                <w:sz w:val="22"/>
                <w:szCs w:val="22"/>
              </w:rPr>
            </w:pPr>
          </w:p>
        </w:tc>
        <w:tc>
          <w:tcPr>
            <w:tcW w:w="3300" w:type="dxa"/>
            <w:shd w:val="clear" w:color="auto" w:fill="auto"/>
          </w:tcPr>
          <w:p w:rsidR="00C87629" w:rsidRPr="00EA30C2" w:rsidRDefault="00C87629" w:rsidP="006B1DA3">
            <w:pPr>
              <w:spacing w:line="200" w:lineRule="exact"/>
              <w:rPr>
                <w:rStyle w:val="refkop"/>
                <w:rFonts w:ascii="Calibri" w:hAnsi="Calibri" w:cs="Arial"/>
                <w:sz w:val="22"/>
                <w:szCs w:val="22"/>
              </w:rPr>
            </w:pPr>
          </w:p>
        </w:tc>
      </w:tr>
    </w:tbl>
    <w:p w:rsidR="00A22A49" w:rsidRPr="00EA30C2" w:rsidRDefault="00A22A49" w:rsidP="00CC68C9">
      <w:pPr>
        <w:pStyle w:val="Koptekst"/>
        <w:tabs>
          <w:tab w:val="clear" w:pos="9072"/>
          <w:tab w:val="left" w:pos="4536"/>
        </w:tabs>
        <w:spacing w:line="240" w:lineRule="atLeast"/>
        <w:rPr>
          <w:rFonts w:ascii="Calibri" w:hAnsi="Calibri" w:cs="Arial"/>
          <w:sz w:val="22"/>
          <w:szCs w:val="22"/>
        </w:rPr>
      </w:pPr>
    </w:p>
    <w:p w:rsidR="00F7420E" w:rsidRPr="00EA30C2" w:rsidRDefault="00F7420E" w:rsidP="00CC68C9">
      <w:pPr>
        <w:pStyle w:val="Koptekst"/>
        <w:tabs>
          <w:tab w:val="clear" w:pos="9072"/>
          <w:tab w:val="left" w:pos="4536"/>
        </w:tabs>
        <w:spacing w:line="240" w:lineRule="atLeast"/>
        <w:rPr>
          <w:rFonts w:ascii="Calibri" w:hAnsi="Calibri" w:cs="Arial"/>
          <w:sz w:val="22"/>
          <w:szCs w:val="22"/>
        </w:rPr>
      </w:pPr>
    </w:p>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9894"/>
      </w:tblGrid>
      <w:tr w:rsidR="00A22A49" w:rsidRPr="00186BDD" w:rsidTr="006D3D1B">
        <w:trPr>
          <w:cantSplit/>
          <w:trHeight w:val="1261"/>
        </w:trPr>
        <w:tc>
          <w:tcPr>
            <w:tcW w:w="9894" w:type="dxa"/>
          </w:tcPr>
          <w:p w:rsidR="00A22A49" w:rsidRPr="00EA30C2" w:rsidRDefault="00A22A49" w:rsidP="00185C1F">
            <w:pPr>
              <w:spacing w:line="200" w:lineRule="exact"/>
              <w:rPr>
                <w:rFonts w:ascii="Calibri" w:hAnsi="Calibri" w:cs="Arial"/>
                <w:sz w:val="22"/>
                <w:szCs w:val="22"/>
              </w:rPr>
            </w:pPr>
          </w:p>
          <w:p w:rsidR="00F8761F" w:rsidRPr="00AC588B" w:rsidRDefault="00F8761F" w:rsidP="00F8761F">
            <w:pPr>
              <w:rPr>
                <w:rFonts w:ascii="Calibri" w:hAnsi="Calibri"/>
                <w:sz w:val="22"/>
              </w:rPr>
            </w:pPr>
            <w:r w:rsidRPr="00AC588B">
              <w:rPr>
                <w:rFonts w:ascii="Calibri" w:hAnsi="Calibri"/>
                <w:sz w:val="22"/>
              </w:rPr>
              <w:t xml:space="preserve">Aldus besloten in de openbare vergadering van het algemeen bestuur van </w:t>
            </w:r>
            <w:r w:rsidR="00AC588B" w:rsidRPr="00AC588B">
              <w:rPr>
                <w:rFonts w:ascii="Calibri" w:hAnsi="Calibri"/>
                <w:sz w:val="22"/>
              </w:rPr>
              <w:t>13 juli 2023</w:t>
            </w:r>
          </w:p>
          <w:p w:rsidR="00F8761F" w:rsidRPr="00AC588B" w:rsidRDefault="00F8761F" w:rsidP="00F8761F">
            <w:pPr>
              <w:rPr>
                <w:rFonts w:ascii="Calibri" w:hAnsi="Calibri"/>
                <w:sz w:val="22"/>
              </w:rPr>
            </w:pPr>
          </w:p>
          <w:p w:rsidR="00F8761F" w:rsidRPr="00AC588B" w:rsidRDefault="00F8761F" w:rsidP="00F8761F">
            <w:pPr>
              <w:rPr>
                <w:rFonts w:ascii="Calibri" w:hAnsi="Calibri"/>
                <w:sz w:val="22"/>
              </w:rPr>
            </w:pPr>
            <w:r w:rsidRPr="00AC588B">
              <w:rPr>
                <w:rFonts w:ascii="Calibri" w:hAnsi="Calibri"/>
                <w:sz w:val="22"/>
              </w:rPr>
              <w:t>Het algemeen bestuur voornoemd,</w:t>
            </w:r>
          </w:p>
          <w:p w:rsidR="00F8761F" w:rsidRPr="00AC588B" w:rsidRDefault="00F8761F" w:rsidP="00F8761F">
            <w:pPr>
              <w:rPr>
                <w:rFonts w:ascii="Calibri" w:hAnsi="Calibri"/>
                <w:sz w:val="22"/>
              </w:rPr>
            </w:pPr>
            <w:r w:rsidRPr="00AC588B">
              <w:rPr>
                <w:rFonts w:ascii="Calibri" w:hAnsi="Calibri"/>
                <w:sz w:val="22"/>
              </w:rPr>
              <w:t>de secretaris,</w:t>
            </w:r>
            <w:r w:rsidRPr="00AC588B">
              <w:rPr>
                <w:rFonts w:ascii="Calibri" w:hAnsi="Calibri"/>
                <w:sz w:val="22"/>
              </w:rPr>
              <w:tab/>
            </w:r>
            <w:r w:rsidRPr="00AC588B">
              <w:rPr>
                <w:rFonts w:ascii="Calibri" w:hAnsi="Calibri"/>
                <w:sz w:val="22"/>
              </w:rPr>
              <w:tab/>
            </w:r>
            <w:r w:rsidRPr="00AC588B">
              <w:rPr>
                <w:rFonts w:ascii="Calibri" w:hAnsi="Calibri"/>
                <w:sz w:val="22"/>
              </w:rPr>
              <w:tab/>
            </w:r>
            <w:r w:rsidRPr="00AC588B">
              <w:rPr>
                <w:rFonts w:ascii="Calibri" w:hAnsi="Calibri"/>
                <w:sz w:val="22"/>
              </w:rPr>
              <w:tab/>
            </w:r>
            <w:r w:rsidRPr="00AC588B">
              <w:rPr>
                <w:rFonts w:ascii="Calibri" w:hAnsi="Calibri"/>
                <w:sz w:val="22"/>
              </w:rPr>
              <w:tab/>
            </w:r>
            <w:r w:rsidRPr="00AC588B">
              <w:rPr>
                <w:rFonts w:ascii="Calibri" w:hAnsi="Calibri"/>
                <w:sz w:val="22"/>
              </w:rPr>
              <w:tab/>
            </w:r>
            <w:r w:rsidRPr="00AC588B">
              <w:rPr>
                <w:rFonts w:ascii="Calibri" w:hAnsi="Calibri"/>
                <w:sz w:val="22"/>
              </w:rPr>
              <w:tab/>
            </w:r>
            <w:r w:rsidRPr="00AC588B">
              <w:rPr>
                <w:rFonts w:ascii="Calibri" w:hAnsi="Calibri"/>
                <w:sz w:val="22"/>
              </w:rPr>
              <w:tab/>
            </w:r>
            <w:r w:rsidRPr="00AC588B">
              <w:rPr>
                <w:rFonts w:ascii="Calibri" w:hAnsi="Calibri"/>
                <w:sz w:val="22"/>
              </w:rPr>
              <w:tab/>
              <w:t>de voorzitter,</w:t>
            </w:r>
          </w:p>
          <w:p w:rsidR="00F8761F" w:rsidRPr="00AC588B" w:rsidRDefault="00F8761F" w:rsidP="00F8761F">
            <w:pPr>
              <w:rPr>
                <w:rFonts w:ascii="Calibri" w:hAnsi="Calibri"/>
                <w:b/>
                <w:sz w:val="22"/>
              </w:rPr>
            </w:pPr>
          </w:p>
          <w:p w:rsidR="00F8761F" w:rsidRPr="00AC588B" w:rsidRDefault="00F8761F" w:rsidP="00F8761F">
            <w:pPr>
              <w:rPr>
                <w:rFonts w:ascii="Calibri" w:hAnsi="Calibri"/>
                <w:b/>
                <w:sz w:val="22"/>
              </w:rPr>
            </w:pPr>
          </w:p>
          <w:p w:rsidR="00F8761F" w:rsidRPr="00AC588B" w:rsidRDefault="00F8761F" w:rsidP="00F8761F">
            <w:pPr>
              <w:rPr>
                <w:rFonts w:ascii="Calibri" w:hAnsi="Calibri"/>
                <w:b/>
                <w:sz w:val="22"/>
              </w:rPr>
            </w:pPr>
          </w:p>
          <w:p w:rsidR="00F8761F" w:rsidRPr="00AC588B" w:rsidRDefault="00F8761F" w:rsidP="00F8761F">
            <w:pPr>
              <w:rPr>
                <w:rFonts w:ascii="Calibri" w:hAnsi="Calibri"/>
                <w:sz w:val="22"/>
              </w:rPr>
            </w:pPr>
            <w:r w:rsidRPr="00AC588B">
              <w:rPr>
                <w:rFonts w:ascii="Calibri" w:hAnsi="Calibri"/>
                <w:sz w:val="22"/>
              </w:rPr>
              <w:t>mevrouw E. Boer MBA</w:t>
            </w:r>
            <w:r w:rsidRPr="00AC588B">
              <w:rPr>
                <w:rFonts w:ascii="Calibri" w:hAnsi="Calibri"/>
                <w:sz w:val="22"/>
              </w:rPr>
              <w:tab/>
            </w:r>
            <w:r w:rsidRPr="00AC588B">
              <w:rPr>
                <w:rFonts w:ascii="Calibri" w:hAnsi="Calibri"/>
                <w:sz w:val="22"/>
              </w:rPr>
              <w:tab/>
            </w:r>
            <w:r w:rsidRPr="00AC588B">
              <w:rPr>
                <w:rFonts w:ascii="Calibri" w:hAnsi="Calibri"/>
                <w:sz w:val="22"/>
              </w:rPr>
              <w:tab/>
            </w:r>
            <w:r w:rsidRPr="00AC588B">
              <w:rPr>
                <w:rFonts w:ascii="Calibri" w:hAnsi="Calibri"/>
                <w:sz w:val="22"/>
              </w:rPr>
              <w:tab/>
            </w:r>
            <w:r w:rsidRPr="00AC588B">
              <w:rPr>
                <w:rFonts w:ascii="Calibri" w:hAnsi="Calibri"/>
                <w:sz w:val="22"/>
              </w:rPr>
              <w:tab/>
            </w:r>
            <w:r w:rsidRPr="00AC588B">
              <w:rPr>
                <w:rFonts w:ascii="Calibri" w:hAnsi="Calibri"/>
                <w:sz w:val="22"/>
              </w:rPr>
              <w:tab/>
            </w:r>
            <w:r w:rsidRPr="00AC588B">
              <w:rPr>
                <w:rFonts w:ascii="Calibri" w:hAnsi="Calibri"/>
                <w:sz w:val="22"/>
              </w:rPr>
              <w:tab/>
            </w:r>
            <w:r w:rsidR="00C162F1" w:rsidRPr="00AC588B">
              <w:rPr>
                <w:rFonts w:ascii="Calibri" w:hAnsi="Calibri"/>
                <w:sz w:val="22"/>
              </w:rPr>
              <w:t>mevrouw drs. J.H.A. Sørensen</w:t>
            </w:r>
          </w:p>
          <w:p w:rsidR="00F8761F" w:rsidRPr="00AC588B" w:rsidRDefault="00F8761F" w:rsidP="00F8761F">
            <w:pPr>
              <w:spacing w:line="240" w:lineRule="atLeast"/>
              <w:rPr>
                <w:rStyle w:val="refkop"/>
                <w:rFonts w:ascii="Calibri" w:hAnsi="Calibri" w:cs="Arial"/>
                <w:b/>
                <w:sz w:val="20"/>
                <w:szCs w:val="22"/>
              </w:rPr>
            </w:pPr>
          </w:p>
          <w:p w:rsidR="00A22A49" w:rsidRPr="00186BDD" w:rsidRDefault="00A22A49" w:rsidP="00185C1F">
            <w:pPr>
              <w:pStyle w:val="Koptekst"/>
              <w:tabs>
                <w:tab w:val="clear" w:pos="9072"/>
                <w:tab w:val="left" w:pos="4536"/>
              </w:tabs>
              <w:spacing w:line="200" w:lineRule="exact"/>
              <w:rPr>
                <w:rFonts w:ascii="Calibri" w:hAnsi="Calibri" w:cs="Arial"/>
                <w:sz w:val="22"/>
                <w:szCs w:val="22"/>
              </w:rPr>
            </w:pPr>
          </w:p>
        </w:tc>
      </w:tr>
    </w:tbl>
    <w:p w:rsidR="001B2BCB" w:rsidRPr="00186BDD" w:rsidRDefault="001B2BCB" w:rsidP="00CC68C9">
      <w:pPr>
        <w:spacing w:line="240" w:lineRule="atLeast"/>
        <w:rPr>
          <w:rFonts w:ascii="Calibri" w:hAnsi="Calibri" w:cs="Arial"/>
          <w:sz w:val="22"/>
          <w:szCs w:val="22"/>
        </w:rPr>
      </w:pPr>
      <w:r w:rsidRPr="00186BDD">
        <w:rPr>
          <w:rFonts w:ascii="Calibri" w:hAnsi="Calibri"/>
          <w:sz w:val="22"/>
          <w:szCs w:val="22"/>
        </w:rPr>
        <w:br w:type="page"/>
      </w:r>
      <w:bookmarkEnd w:id="1"/>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CellMar>
          <w:top w:w="68" w:type="dxa"/>
          <w:left w:w="70" w:type="dxa"/>
          <w:right w:w="70" w:type="dxa"/>
        </w:tblCellMar>
        <w:tblLook w:val="0000" w:firstRow="0" w:lastRow="0" w:firstColumn="0" w:lastColumn="0" w:noHBand="0" w:noVBand="0"/>
      </w:tblPr>
      <w:tblGrid>
        <w:gridCol w:w="9778"/>
      </w:tblGrid>
      <w:tr w:rsidR="001B2BCB" w:rsidRPr="00186BDD" w:rsidTr="00D312F4">
        <w:trPr>
          <w:trHeight w:hRule="exact" w:val="900"/>
        </w:trPr>
        <w:tc>
          <w:tcPr>
            <w:tcW w:w="9778" w:type="dxa"/>
          </w:tcPr>
          <w:p w:rsidR="00CE575D" w:rsidRPr="00186BDD" w:rsidRDefault="001B2BCB" w:rsidP="00406204">
            <w:pPr>
              <w:spacing w:line="240" w:lineRule="atLeast"/>
              <w:jc w:val="left"/>
              <w:rPr>
                <w:rFonts w:ascii="Calibri" w:hAnsi="Calibri" w:cs="Arial"/>
                <w:b/>
                <w:color w:val="009FE3"/>
                <w:sz w:val="22"/>
                <w:szCs w:val="22"/>
              </w:rPr>
            </w:pPr>
            <w:r w:rsidRPr="00186BDD">
              <w:rPr>
                <w:rFonts w:ascii="Calibri" w:hAnsi="Calibri" w:cs="Arial"/>
                <w:color w:val="009FE3"/>
                <w:sz w:val="22"/>
                <w:szCs w:val="22"/>
              </w:rPr>
              <w:lastRenderedPageBreak/>
              <w:br w:type="page"/>
            </w:r>
            <w:r w:rsidR="008E2FF9" w:rsidRPr="00186BDD">
              <w:rPr>
                <w:rFonts w:ascii="Calibri" w:hAnsi="Calibri" w:cs="Arial"/>
                <w:b/>
                <w:color w:val="009FE3"/>
                <w:sz w:val="22"/>
                <w:szCs w:val="22"/>
              </w:rPr>
              <w:t xml:space="preserve">ONDERWERP </w:t>
            </w:r>
            <w:bookmarkStart w:id="5" w:name="blwOnderwerpKopie1"/>
            <w:bookmarkEnd w:id="5"/>
          </w:p>
          <w:p w:rsidR="004E3AE8" w:rsidRPr="00B613BA" w:rsidRDefault="00346BBF" w:rsidP="004E3AE8">
            <w:pPr>
              <w:spacing w:line="240" w:lineRule="atLeast"/>
              <w:jc w:val="left"/>
              <w:rPr>
                <w:rFonts w:ascii="Calibri" w:hAnsi="Calibri" w:cs="Arial"/>
                <w:sz w:val="22"/>
                <w:szCs w:val="22"/>
              </w:rPr>
            </w:pPr>
            <w:r>
              <w:rPr>
                <w:rFonts w:ascii="Calibri" w:hAnsi="Calibri" w:cs="Arial"/>
                <w:sz w:val="22"/>
                <w:szCs w:val="22"/>
              </w:rPr>
              <w:t xml:space="preserve">Nieuwe opzet </w:t>
            </w:r>
            <w:r w:rsidR="004E3AE8" w:rsidRPr="00B613BA">
              <w:rPr>
                <w:rFonts w:ascii="Calibri" w:hAnsi="Calibri" w:cs="Arial"/>
                <w:sz w:val="22"/>
                <w:szCs w:val="22"/>
              </w:rPr>
              <w:t>rapportages</w:t>
            </w:r>
          </w:p>
          <w:p w:rsidR="00406204" w:rsidRPr="00186BDD" w:rsidRDefault="00406204" w:rsidP="00406204">
            <w:pPr>
              <w:spacing w:line="240" w:lineRule="atLeast"/>
              <w:jc w:val="left"/>
              <w:rPr>
                <w:rFonts w:ascii="Calibri" w:hAnsi="Calibri" w:cs="Arial"/>
                <w:b/>
                <w:sz w:val="22"/>
                <w:szCs w:val="22"/>
              </w:rPr>
            </w:pPr>
          </w:p>
        </w:tc>
      </w:tr>
    </w:tbl>
    <w:p w:rsidR="001B2BCB" w:rsidRPr="00186BDD" w:rsidRDefault="001B2BCB" w:rsidP="00CC68C9">
      <w:pPr>
        <w:spacing w:line="240" w:lineRule="atLeast"/>
        <w:rPr>
          <w:rFonts w:ascii="Calibri" w:hAnsi="Calibri" w:cs="Arial"/>
          <w:sz w:val="22"/>
          <w:szCs w:val="22"/>
        </w:rPr>
      </w:pPr>
    </w:p>
    <w:p w:rsidR="00E55C6B" w:rsidRDefault="009D78EB" w:rsidP="00E55C6B">
      <w:pPr>
        <w:spacing w:line="240" w:lineRule="atLeast"/>
        <w:rPr>
          <w:rFonts w:asciiTheme="minorHAnsi" w:hAnsiTheme="minorHAnsi" w:cstheme="minorHAnsi"/>
          <w:b/>
          <w:color w:val="009FE3"/>
          <w:sz w:val="22"/>
          <w:szCs w:val="22"/>
        </w:rPr>
      </w:pPr>
      <w:r>
        <w:rPr>
          <w:rFonts w:asciiTheme="minorHAnsi" w:hAnsiTheme="minorHAnsi" w:cstheme="minorHAnsi"/>
          <w:b/>
          <w:color w:val="009FE3"/>
          <w:sz w:val="22"/>
          <w:szCs w:val="22"/>
        </w:rPr>
        <w:t xml:space="preserve">Tweemaandelijkse </w:t>
      </w:r>
      <w:r w:rsidR="00E55C6B">
        <w:rPr>
          <w:rFonts w:asciiTheme="minorHAnsi" w:hAnsiTheme="minorHAnsi" w:cstheme="minorHAnsi"/>
          <w:b/>
          <w:color w:val="009FE3"/>
          <w:sz w:val="22"/>
          <w:szCs w:val="22"/>
        </w:rPr>
        <w:t>rapportages</w:t>
      </w:r>
    </w:p>
    <w:p w:rsidR="00E55C6B" w:rsidRDefault="00E55C6B" w:rsidP="00E55C6B">
      <w:pPr>
        <w:spacing w:line="240" w:lineRule="atLeast"/>
        <w:jc w:val="left"/>
        <w:rPr>
          <w:rStyle w:val="refkop"/>
          <w:rFonts w:asciiTheme="minorHAnsi" w:hAnsiTheme="minorHAnsi" w:cstheme="minorHAnsi"/>
          <w:sz w:val="22"/>
          <w:szCs w:val="22"/>
        </w:rPr>
      </w:pPr>
      <w:r w:rsidRPr="00EA47ED">
        <w:rPr>
          <w:rStyle w:val="refkop"/>
          <w:rFonts w:asciiTheme="minorHAnsi" w:hAnsiTheme="minorHAnsi" w:cstheme="minorHAnsi"/>
          <w:sz w:val="22"/>
          <w:szCs w:val="22"/>
        </w:rPr>
        <w:t xml:space="preserve">Op verzoek van u als Werkzaakbestuur en de gemeenten (bestuurlijk en ambtelijk) </w:t>
      </w:r>
      <w:r>
        <w:rPr>
          <w:rStyle w:val="refkop"/>
          <w:rFonts w:asciiTheme="minorHAnsi" w:hAnsiTheme="minorHAnsi" w:cstheme="minorHAnsi"/>
          <w:sz w:val="22"/>
          <w:szCs w:val="22"/>
        </w:rPr>
        <w:t xml:space="preserve">herstarten we met regelmatige </w:t>
      </w:r>
      <w:r w:rsidRPr="00EA47ED">
        <w:rPr>
          <w:rStyle w:val="refkop"/>
          <w:rFonts w:asciiTheme="minorHAnsi" w:hAnsiTheme="minorHAnsi" w:cstheme="minorHAnsi"/>
          <w:sz w:val="22"/>
          <w:szCs w:val="22"/>
        </w:rPr>
        <w:t xml:space="preserve">rapportages. Deze rapportages bevatten kengetallen, doelen, indicatoren en grafieken over onze dienstverlening. </w:t>
      </w:r>
      <w:r>
        <w:rPr>
          <w:rStyle w:val="refkop"/>
          <w:rFonts w:asciiTheme="minorHAnsi" w:hAnsiTheme="minorHAnsi" w:cstheme="minorHAnsi"/>
          <w:sz w:val="22"/>
          <w:szCs w:val="22"/>
        </w:rPr>
        <w:t>Ze bestaan enerzijds uit grafieken</w:t>
      </w:r>
      <w:r w:rsidR="004E1507">
        <w:rPr>
          <w:rStyle w:val="refkop"/>
          <w:rFonts w:asciiTheme="minorHAnsi" w:hAnsiTheme="minorHAnsi" w:cstheme="minorHAnsi"/>
          <w:sz w:val="22"/>
          <w:szCs w:val="22"/>
        </w:rPr>
        <w:t xml:space="preserve"> uit het twee</w:t>
      </w:r>
      <w:r>
        <w:rPr>
          <w:rStyle w:val="refkop"/>
          <w:rFonts w:asciiTheme="minorHAnsi" w:hAnsiTheme="minorHAnsi" w:cstheme="minorHAnsi"/>
          <w:sz w:val="22"/>
          <w:szCs w:val="22"/>
        </w:rPr>
        <w:t xml:space="preserve">maandelijkse benchmarkrapporten van Divosa, anderzijds tonen wij schermafdrukken van onze interne dashboards. </w:t>
      </w:r>
      <w:r>
        <w:rPr>
          <w:rFonts w:asciiTheme="minorHAnsi" w:hAnsiTheme="minorHAnsi" w:cstheme="minorHAnsi"/>
          <w:sz w:val="22"/>
          <w:szCs w:val="22"/>
        </w:rPr>
        <w:t xml:space="preserve">Zo’n rapportage is daarmee relatief gemakkelijk samen te stellen en </w:t>
      </w:r>
      <w:r w:rsidRPr="00EA47ED">
        <w:rPr>
          <w:rFonts w:asciiTheme="minorHAnsi" w:hAnsiTheme="minorHAnsi" w:cstheme="minorHAnsi"/>
          <w:sz w:val="22"/>
          <w:szCs w:val="22"/>
        </w:rPr>
        <w:t>een verrijking qua kwalitatieve informatie over onze dienstverlening ten opzicht</w:t>
      </w:r>
      <w:r>
        <w:rPr>
          <w:rFonts w:asciiTheme="minorHAnsi" w:hAnsiTheme="minorHAnsi" w:cstheme="minorHAnsi"/>
          <w:sz w:val="22"/>
          <w:szCs w:val="22"/>
        </w:rPr>
        <w:t>e</w:t>
      </w:r>
      <w:r w:rsidRPr="00EA47ED">
        <w:rPr>
          <w:rFonts w:asciiTheme="minorHAnsi" w:hAnsiTheme="minorHAnsi" w:cstheme="minorHAnsi"/>
          <w:sz w:val="22"/>
          <w:szCs w:val="22"/>
        </w:rPr>
        <w:t xml:space="preserve"> van voorheen.</w:t>
      </w:r>
    </w:p>
    <w:p w:rsidR="00E55C6B" w:rsidRDefault="00E55C6B" w:rsidP="00E55C6B">
      <w:pPr>
        <w:pStyle w:val="Koptekst"/>
        <w:tabs>
          <w:tab w:val="clear" w:pos="9072"/>
          <w:tab w:val="left" w:pos="4536"/>
        </w:tabs>
        <w:spacing w:line="240" w:lineRule="auto"/>
        <w:jc w:val="left"/>
        <w:rPr>
          <w:rStyle w:val="refkop"/>
          <w:rFonts w:asciiTheme="minorHAnsi" w:hAnsiTheme="minorHAnsi" w:cstheme="minorHAnsi"/>
          <w:sz w:val="22"/>
          <w:szCs w:val="22"/>
        </w:rPr>
      </w:pPr>
    </w:p>
    <w:p w:rsidR="00E55C6B" w:rsidRPr="00EA47ED" w:rsidRDefault="00E55C6B" w:rsidP="00E55C6B">
      <w:pPr>
        <w:pStyle w:val="Koptekst"/>
        <w:tabs>
          <w:tab w:val="clear" w:pos="9072"/>
          <w:tab w:val="left" w:pos="4536"/>
        </w:tabs>
        <w:spacing w:line="240" w:lineRule="auto"/>
        <w:jc w:val="left"/>
        <w:rPr>
          <w:rStyle w:val="refkop"/>
          <w:rFonts w:asciiTheme="minorHAnsi" w:hAnsiTheme="minorHAnsi" w:cstheme="minorHAnsi"/>
          <w:sz w:val="22"/>
          <w:szCs w:val="22"/>
        </w:rPr>
      </w:pPr>
      <w:r>
        <w:rPr>
          <w:rStyle w:val="refkop"/>
          <w:rFonts w:asciiTheme="minorHAnsi" w:hAnsiTheme="minorHAnsi" w:cstheme="minorHAnsi"/>
          <w:sz w:val="22"/>
          <w:szCs w:val="22"/>
        </w:rPr>
        <w:t xml:space="preserve">De </w:t>
      </w:r>
      <w:r w:rsidRPr="00EA47ED">
        <w:rPr>
          <w:rStyle w:val="refkop"/>
          <w:rFonts w:asciiTheme="minorHAnsi" w:hAnsiTheme="minorHAnsi" w:cstheme="minorHAnsi"/>
          <w:sz w:val="22"/>
          <w:szCs w:val="22"/>
        </w:rPr>
        <w:t xml:space="preserve">rapportages geven een goed inzicht in de resultaten van onze werkzaamheden. </w:t>
      </w:r>
      <w:r w:rsidRPr="00EA47ED">
        <w:rPr>
          <w:rFonts w:asciiTheme="minorHAnsi" w:hAnsiTheme="minorHAnsi" w:cstheme="minorHAnsi"/>
          <w:sz w:val="22"/>
          <w:szCs w:val="22"/>
        </w:rPr>
        <w:t>Die informatie is ste</w:t>
      </w:r>
      <w:r>
        <w:rPr>
          <w:rFonts w:asciiTheme="minorHAnsi" w:hAnsiTheme="minorHAnsi" w:cstheme="minorHAnsi"/>
          <w:sz w:val="22"/>
          <w:szCs w:val="22"/>
        </w:rPr>
        <w:t xml:space="preserve">eds op Werkzaak-niveau. De </w:t>
      </w:r>
      <w:r w:rsidRPr="00EA47ED">
        <w:rPr>
          <w:rFonts w:asciiTheme="minorHAnsi" w:hAnsiTheme="minorHAnsi" w:cstheme="minorHAnsi"/>
          <w:sz w:val="22"/>
          <w:szCs w:val="22"/>
        </w:rPr>
        <w:t xml:space="preserve">rapportages worden </w:t>
      </w:r>
      <w:r w:rsidR="004E1507" w:rsidRPr="00D8098B">
        <w:rPr>
          <w:rFonts w:asciiTheme="minorHAnsi" w:hAnsiTheme="minorHAnsi" w:cstheme="minorHAnsi"/>
          <w:sz w:val="22"/>
          <w:szCs w:val="22"/>
          <w:u w:val="single"/>
        </w:rPr>
        <w:t xml:space="preserve">om de twee </w:t>
      </w:r>
      <w:r w:rsidRPr="00D8098B">
        <w:rPr>
          <w:rFonts w:asciiTheme="minorHAnsi" w:hAnsiTheme="minorHAnsi" w:cstheme="minorHAnsi"/>
          <w:sz w:val="22"/>
          <w:szCs w:val="22"/>
          <w:u w:val="single"/>
        </w:rPr>
        <w:t>maanden</w:t>
      </w:r>
      <w:r w:rsidRPr="00EA47ED">
        <w:rPr>
          <w:rFonts w:asciiTheme="minorHAnsi" w:hAnsiTheme="minorHAnsi" w:cstheme="minorHAnsi"/>
          <w:sz w:val="22"/>
          <w:szCs w:val="22"/>
        </w:rPr>
        <w:t xml:space="preserve"> gemaild naar de AB-leden, met cc aan hun beleidsmedewerkers.</w:t>
      </w:r>
      <w:r>
        <w:rPr>
          <w:rFonts w:asciiTheme="minorHAnsi" w:hAnsiTheme="minorHAnsi" w:cstheme="minorHAnsi"/>
          <w:sz w:val="22"/>
          <w:szCs w:val="22"/>
        </w:rPr>
        <w:t xml:space="preserve"> </w:t>
      </w:r>
      <w:r w:rsidR="004E1507">
        <w:rPr>
          <w:rFonts w:asciiTheme="minorHAnsi" w:hAnsiTheme="minorHAnsi" w:cstheme="minorHAnsi"/>
          <w:sz w:val="22"/>
          <w:szCs w:val="22"/>
        </w:rPr>
        <w:t>De reden om over te gaan op twee</w:t>
      </w:r>
      <w:r>
        <w:rPr>
          <w:rFonts w:asciiTheme="minorHAnsi" w:hAnsiTheme="minorHAnsi" w:cstheme="minorHAnsi"/>
          <w:sz w:val="22"/>
          <w:szCs w:val="22"/>
        </w:rPr>
        <w:t>maandeli</w:t>
      </w:r>
      <w:r w:rsidR="00E85D60">
        <w:rPr>
          <w:rFonts w:asciiTheme="minorHAnsi" w:hAnsiTheme="minorHAnsi" w:cstheme="minorHAnsi"/>
          <w:sz w:val="22"/>
          <w:szCs w:val="22"/>
        </w:rPr>
        <w:t xml:space="preserve">jkse rapportages is dat de </w:t>
      </w:r>
      <w:r>
        <w:rPr>
          <w:rFonts w:asciiTheme="minorHAnsi" w:hAnsiTheme="minorHAnsi" w:cstheme="minorHAnsi"/>
          <w:sz w:val="22"/>
          <w:szCs w:val="22"/>
        </w:rPr>
        <w:t xml:space="preserve">ontwikkeling van onze dienstverlening </w:t>
      </w:r>
      <w:r w:rsidR="00E85D60">
        <w:rPr>
          <w:rFonts w:asciiTheme="minorHAnsi" w:hAnsiTheme="minorHAnsi" w:cstheme="minorHAnsi"/>
          <w:sz w:val="22"/>
          <w:szCs w:val="22"/>
        </w:rPr>
        <w:t>maandelijks niet zo fluctueert</w:t>
      </w:r>
      <w:r w:rsidR="004E1507">
        <w:rPr>
          <w:rFonts w:asciiTheme="minorHAnsi" w:hAnsiTheme="minorHAnsi" w:cstheme="minorHAnsi"/>
          <w:sz w:val="22"/>
          <w:szCs w:val="22"/>
        </w:rPr>
        <w:t xml:space="preserve">. </w:t>
      </w:r>
      <w:r w:rsidR="00E85D60">
        <w:rPr>
          <w:rFonts w:asciiTheme="minorHAnsi" w:hAnsiTheme="minorHAnsi" w:cstheme="minorHAnsi"/>
          <w:sz w:val="22"/>
          <w:szCs w:val="22"/>
        </w:rPr>
        <w:t>En zo kunnen we de rapportages samenstellen met de huid</w:t>
      </w:r>
      <w:r w:rsidR="00B746EF">
        <w:rPr>
          <w:rFonts w:asciiTheme="minorHAnsi" w:hAnsiTheme="minorHAnsi" w:cstheme="minorHAnsi"/>
          <w:sz w:val="22"/>
          <w:szCs w:val="22"/>
        </w:rPr>
        <w:t>i</w:t>
      </w:r>
      <w:r w:rsidR="00E85D60">
        <w:rPr>
          <w:rFonts w:asciiTheme="minorHAnsi" w:hAnsiTheme="minorHAnsi" w:cstheme="minorHAnsi"/>
          <w:sz w:val="22"/>
          <w:szCs w:val="22"/>
        </w:rPr>
        <w:t>ge formatie</w:t>
      </w:r>
      <w:r>
        <w:rPr>
          <w:rFonts w:asciiTheme="minorHAnsi" w:hAnsiTheme="minorHAnsi" w:cstheme="minorHAnsi"/>
          <w:sz w:val="22"/>
          <w:szCs w:val="22"/>
        </w:rPr>
        <w:t>.</w:t>
      </w:r>
      <w:r w:rsidR="00B746EF">
        <w:rPr>
          <w:rFonts w:asciiTheme="minorHAnsi" w:hAnsiTheme="minorHAnsi" w:cstheme="minorHAnsi"/>
          <w:sz w:val="22"/>
          <w:szCs w:val="22"/>
        </w:rPr>
        <w:t xml:space="preserve"> </w:t>
      </w:r>
    </w:p>
    <w:p w:rsidR="00E55C6B" w:rsidRDefault="00E55C6B" w:rsidP="001A2CA6">
      <w:pPr>
        <w:pStyle w:val="Koptekst"/>
        <w:tabs>
          <w:tab w:val="clear" w:pos="9072"/>
          <w:tab w:val="left" w:pos="4536"/>
        </w:tabs>
        <w:spacing w:line="240" w:lineRule="auto"/>
        <w:jc w:val="left"/>
        <w:rPr>
          <w:rStyle w:val="refkop"/>
          <w:rFonts w:asciiTheme="minorHAnsi" w:hAnsiTheme="minorHAnsi" w:cstheme="minorHAnsi"/>
          <w:sz w:val="22"/>
          <w:szCs w:val="22"/>
        </w:rPr>
      </w:pPr>
      <w:r>
        <w:rPr>
          <w:rStyle w:val="refkop"/>
          <w:rFonts w:asciiTheme="minorHAnsi" w:hAnsiTheme="minorHAnsi" w:cstheme="minorHAnsi"/>
          <w:sz w:val="22"/>
          <w:szCs w:val="22"/>
        </w:rPr>
        <w:t xml:space="preserve">De </w:t>
      </w:r>
      <w:r w:rsidRPr="00EA47ED">
        <w:rPr>
          <w:rStyle w:val="refkop"/>
          <w:rFonts w:asciiTheme="minorHAnsi" w:hAnsiTheme="minorHAnsi" w:cstheme="minorHAnsi"/>
          <w:sz w:val="22"/>
          <w:szCs w:val="22"/>
        </w:rPr>
        <w:t>rapportages bevatten geen financiële informatie; hiervoor hebben we de jaarrekening, begroting, bestuursrapportage en najaarspresentatie aan h</w:t>
      </w:r>
      <w:r w:rsidR="00B746EF">
        <w:rPr>
          <w:rStyle w:val="refkop"/>
          <w:rFonts w:asciiTheme="minorHAnsi" w:hAnsiTheme="minorHAnsi" w:cstheme="minorHAnsi"/>
          <w:sz w:val="22"/>
          <w:szCs w:val="22"/>
        </w:rPr>
        <w:t>et GBO.</w:t>
      </w:r>
      <w:r w:rsidR="001A2CA6">
        <w:rPr>
          <w:rStyle w:val="refkop"/>
          <w:rFonts w:asciiTheme="minorHAnsi" w:hAnsiTheme="minorHAnsi" w:cstheme="minorHAnsi"/>
          <w:sz w:val="22"/>
          <w:szCs w:val="22"/>
        </w:rPr>
        <w:t xml:space="preserve"> </w:t>
      </w:r>
      <w:r w:rsidR="001A2CA6">
        <w:rPr>
          <w:rFonts w:asciiTheme="minorHAnsi" w:hAnsiTheme="minorHAnsi" w:cstheme="minorHAnsi"/>
          <w:sz w:val="22"/>
          <w:szCs w:val="22"/>
        </w:rPr>
        <w:t xml:space="preserve">Dit is zo ook afgestemd met het </w:t>
      </w:r>
      <w:r w:rsidR="001A2CA6" w:rsidRPr="00EA47ED">
        <w:rPr>
          <w:rStyle w:val="refkop"/>
          <w:rFonts w:asciiTheme="minorHAnsi" w:hAnsiTheme="minorHAnsi" w:cstheme="minorHAnsi"/>
          <w:sz w:val="22"/>
          <w:szCs w:val="22"/>
        </w:rPr>
        <w:t>Gemeentelijk Beleidsoverleg (GBO).</w:t>
      </w:r>
    </w:p>
    <w:p w:rsidR="00E55C6B" w:rsidRDefault="00E55C6B" w:rsidP="00E55C6B">
      <w:pPr>
        <w:jc w:val="left"/>
        <w:rPr>
          <w:rStyle w:val="refkop"/>
          <w:rFonts w:asciiTheme="minorHAnsi" w:hAnsiTheme="minorHAnsi" w:cstheme="minorHAnsi"/>
          <w:sz w:val="22"/>
          <w:szCs w:val="22"/>
        </w:rPr>
      </w:pPr>
    </w:p>
    <w:p w:rsidR="00E55C6B" w:rsidRPr="00EA47ED" w:rsidRDefault="00E55C6B" w:rsidP="00E55C6B">
      <w:pPr>
        <w:jc w:val="left"/>
        <w:rPr>
          <w:rFonts w:asciiTheme="minorHAnsi" w:hAnsiTheme="minorHAnsi" w:cstheme="minorHAnsi"/>
          <w:sz w:val="22"/>
          <w:szCs w:val="22"/>
        </w:rPr>
      </w:pPr>
      <w:r>
        <w:rPr>
          <w:rStyle w:val="refkop"/>
          <w:rFonts w:asciiTheme="minorHAnsi" w:hAnsiTheme="minorHAnsi" w:cstheme="minorHAnsi"/>
          <w:sz w:val="22"/>
          <w:szCs w:val="22"/>
        </w:rPr>
        <w:t xml:space="preserve">Begin maart en begin mei 2023 is een conceptrapportage gedeeld met de GBO-leden. Hen is beide keren gevraagd om een reactie. Hierop is </w:t>
      </w:r>
      <w:r w:rsidR="00A844EF">
        <w:rPr>
          <w:rStyle w:val="refkop"/>
          <w:rFonts w:asciiTheme="minorHAnsi" w:hAnsiTheme="minorHAnsi" w:cstheme="minorHAnsi"/>
          <w:sz w:val="22"/>
          <w:szCs w:val="22"/>
        </w:rPr>
        <w:t xml:space="preserve">in eerste </w:t>
      </w:r>
      <w:r w:rsidR="00433A47">
        <w:rPr>
          <w:rStyle w:val="refkop"/>
          <w:rFonts w:asciiTheme="minorHAnsi" w:hAnsiTheme="minorHAnsi" w:cstheme="minorHAnsi"/>
          <w:sz w:val="22"/>
          <w:szCs w:val="22"/>
        </w:rPr>
        <w:t xml:space="preserve">instantie </w:t>
      </w:r>
      <w:r w:rsidR="00B8098A">
        <w:rPr>
          <w:rStyle w:val="refkop"/>
          <w:rFonts w:asciiTheme="minorHAnsi" w:hAnsiTheme="minorHAnsi" w:cstheme="minorHAnsi"/>
          <w:sz w:val="22"/>
          <w:szCs w:val="22"/>
        </w:rPr>
        <w:t xml:space="preserve">slechts </w:t>
      </w:r>
      <w:r>
        <w:rPr>
          <w:rStyle w:val="refkop"/>
          <w:rFonts w:asciiTheme="minorHAnsi" w:hAnsiTheme="minorHAnsi" w:cstheme="minorHAnsi"/>
          <w:sz w:val="22"/>
          <w:szCs w:val="22"/>
        </w:rPr>
        <w:t>door een gemeente gereageerd.</w:t>
      </w:r>
      <w:r w:rsidR="00EB428E">
        <w:rPr>
          <w:rStyle w:val="refkop"/>
          <w:rFonts w:asciiTheme="minorHAnsi" w:hAnsiTheme="minorHAnsi" w:cstheme="minorHAnsi"/>
          <w:sz w:val="22"/>
          <w:szCs w:val="22"/>
        </w:rPr>
        <w:t xml:space="preserve"> </w:t>
      </w:r>
      <w:r w:rsidR="00A844EF">
        <w:rPr>
          <w:rStyle w:val="refkop"/>
          <w:rFonts w:asciiTheme="minorHAnsi" w:hAnsiTheme="minorHAnsi" w:cstheme="minorHAnsi"/>
          <w:sz w:val="22"/>
          <w:szCs w:val="22"/>
        </w:rPr>
        <w:t xml:space="preserve">De reacties kwamen pas na meerdere keren navragen. </w:t>
      </w:r>
      <w:r w:rsidR="00EB428E">
        <w:rPr>
          <w:rStyle w:val="refkop"/>
          <w:rFonts w:asciiTheme="minorHAnsi" w:hAnsiTheme="minorHAnsi" w:cstheme="minorHAnsi"/>
          <w:sz w:val="22"/>
          <w:szCs w:val="22"/>
        </w:rPr>
        <w:t xml:space="preserve">Neder-Betuwe heeft aangegeven deze tweemaandelijkse rapportage niet te hoeven ontvangen, omdat zij niet meedoen met de P-wet bij Werkzaak. Of Buren er ook zo in staat, dat hebben zij nog niet aangegeven. </w:t>
      </w:r>
    </w:p>
    <w:p w:rsidR="00E55C6B" w:rsidRPr="00EA47ED" w:rsidRDefault="00E55C6B" w:rsidP="00E55C6B">
      <w:pPr>
        <w:pStyle w:val="Koptekst"/>
        <w:tabs>
          <w:tab w:val="clear" w:pos="9072"/>
          <w:tab w:val="left" w:pos="4536"/>
        </w:tabs>
        <w:spacing w:line="240" w:lineRule="atLeast"/>
        <w:rPr>
          <w:rFonts w:asciiTheme="minorHAnsi" w:hAnsiTheme="minorHAnsi" w:cstheme="minorHAnsi"/>
          <w:sz w:val="22"/>
          <w:szCs w:val="22"/>
        </w:rPr>
      </w:pPr>
    </w:p>
    <w:p w:rsidR="00E55C6B" w:rsidRPr="00EA47ED" w:rsidRDefault="00E55C6B" w:rsidP="00E55C6B">
      <w:pPr>
        <w:pStyle w:val="Koptekst"/>
        <w:tabs>
          <w:tab w:val="clear" w:pos="9072"/>
          <w:tab w:val="left" w:pos="4536"/>
        </w:tabs>
        <w:spacing w:line="240" w:lineRule="atLeast"/>
        <w:rPr>
          <w:rFonts w:asciiTheme="minorHAnsi" w:hAnsiTheme="minorHAnsi" w:cstheme="minorHAnsi"/>
          <w:b/>
          <w:color w:val="009FE3"/>
          <w:sz w:val="22"/>
          <w:szCs w:val="22"/>
        </w:rPr>
      </w:pPr>
      <w:r w:rsidRPr="00EA47ED">
        <w:rPr>
          <w:rFonts w:asciiTheme="minorHAnsi" w:hAnsiTheme="minorHAnsi" w:cstheme="minorHAnsi"/>
          <w:b/>
          <w:color w:val="009FE3"/>
          <w:sz w:val="22"/>
          <w:szCs w:val="22"/>
        </w:rPr>
        <w:t>Do</w:t>
      </w:r>
      <w:r>
        <w:rPr>
          <w:rFonts w:asciiTheme="minorHAnsi" w:hAnsiTheme="minorHAnsi" w:cstheme="minorHAnsi"/>
          <w:b/>
          <w:color w:val="009FE3"/>
          <w:sz w:val="22"/>
          <w:szCs w:val="22"/>
        </w:rPr>
        <w:t xml:space="preserve">orontwikkeling en toekomst </w:t>
      </w:r>
      <w:r w:rsidRPr="00EA47ED">
        <w:rPr>
          <w:rFonts w:asciiTheme="minorHAnsi" w:hAnsiTheme="minorHAnsi" w:cstheme="minorHAnsi"/>
          <w:b/>
          <w:color w:val="009FE3"/>
          <w:sz w:val="22"/>
          <w:szCs w:val="22"/>
        </w:rPr>
        <w:t>rapportages</w:t>
      </w:r>
    </w:p>
    <w:p w:rsidR="00E55C6B" w:rsidRPr="00EA47ED" w:rsidRDefault="00E55C6B" w:rsidP="00E55C6B">
      <w:pPr>
        <w:pStyle w:val="Koptekst"/>
        <w:tabs>
          <w:tab w:val="clear" w:pos="9072"/>
          <w:tab w:val="left" w:pos="4536"/>
        </w:tabs>
        <w:spacing w:line="240" w:lineRule="auto"/>
        <w:jc w:val="left"/>
        <w:rPr>
          <w:rFonts w:asciiTheme="minorHAnsi" w:hAnsiTheme="minorHAnsi" w:cstheme="minorHAnsi"/>
          <w:sz w:val="22"/>
          <w:szCs w:val="22"/>
        </w:rPr>
      </w:pPr>
      <w:r w:rsidRPr="00EA47ED">
        <w:rPr>
          <w:rFonts w:asciiTheme="minorHAnsi" w:hAnsiTheme="minorHAnsi" w:cstheme="minorHAnsi"/>
          <w:sz w:val="22"/>
          <w:szCs w:val="22"/>
        </w:rPr>
        <w:t>De wens is ook geuit door de gemeenten om realtime inzicht te hebben in de voortgang van onze dienstverlening. Dit is door ons toegezegd in het najaar van 2022 en wij werken hieraan. De invoering van de tool Power BI is hier een eerste stap in. Wij zijn echter nog lang niet zover dat wij de gemeenten toegang kunnen geven tot een real time dashboard dat via internet benaderbaar is. Het streven is om dat in de eerste helft 2024 gereed te hebben.</w:t>
      </w:r>
    </w:p>
    <w:p w:rsidR="00E55C6B" w:rsidRDefault="00E55C6B" w:rsidP="00E55C6B">
      <w:pPr>
        <w:pStyle w:val="Koptekst"/>
        <w:tabs>
          <w:tab w:val="clear" w:pos="9072"/>
          <w:tab w:val="left" w:pos="4536"/>
        </w:tabs>
        <w:spacing w:line="240" w:lineRule="auto"/>
        <w:jc w:val="left"/>
        <w:rPr>
          <w:rFonts w:asciiTheme="minorHAnsi" w:hAnsiTheme="minorHAnsi" w:cstheme="minorHAnsi"/>
          <w:sz w:val="22"/>
          <w:szCs w:val="22"/>
        </w:rPr>
      </w:pPr>
    </w:p>
    <w:p w:rsidR="00E55C6B" w:rsidRPr="0046606D" w:rsidRDefault="00E55C6B" w:rsidP="00E55C6B">
      <w:pPr>
        <w:pStyle w:val="Koptekst"/>
        <w:tabs>
          <w:tab w:val="clear" w:pos="9072"/>
          <w:tab w:val="left" w:pos="4536"/>
        </w:tabs>
        <w:spacing w:line="240" w:lineRule="atLeast"/>
        <w:rPr>
          <w:rFonts w:asciiTheme="minorHAnsi" w:hAnsiTheme="minorHAnsi" w:cstheme="minorHAnsi"/>
          <w:b/>
          <w:color w:val="009FE3"/>
          <w:sz w:val="22"/>
          <w:szCs w:val="22"/>
        </w:rPr>
      </w:pPr>
      <w:r w:rsidRPr="0046606D">
        <w:rPr>
          <w:rFonts w:asciiTheme="minorHAnsi" w:hAnsiTheme="minorHAnsi" w:cstheme="minorHAnsi"/>
          <w:b/>
          <w:color w:val="009FE3"/>
          <w:sz w:val="22"/>
          <w:szCs w:val="22"/>
        </w:rPr>
        <w:t>Basis voor verdere samenwerk</w:t>
      </w:r>
      <w:r>
        <w:rPr>
          <w:rFonts w:asciiTheme="minorHAnsi" w:hAnsiTheme="minorHAnsi" w:cstheme="minorHAnsi"/>
          <w:b/>
          <w:color w:val="009FE3"/>
          <w:sz w:val="22"/>
          <w:szCs w:val="22"/>
        </w:rPr>
        <w:t>ing en het delen van beleids</w:t>
      </w:r>
      <w:r w:rsidRPr="0046606D">
        <w:rPr>
          <w:rFonts w:asciiTheme="minorHAnsi" w:hAnsiTheme="minorHAnsi" w:cstheme="minorHAnsi"/>
          <w:b/>
          <w:color w:val="009FE3"/>
          <w:sz w:val="22"/>
          <w:szCs w:val="22"/>
        </w:rPr>
        <w:t>data</w:t>
      </w:r>
    </w:p>
    <w:p w:rsidR="00E55C6B" w:rsidRDefault="00E55C6B" w:rsidP="00E55C6B">
      <w:pPr>
        <w:pStyle w:val="Koptekst"/>
        <w:tabs>
          <w:tab w:val="clear" w:pos="9072"/>
          <w:tab w:val="left" w:pos="4536"/>
        </w:tabs>
        <w:spacing w:line="240" w:lineRule="auto"/>
        <w:jc w:val="left"/>
        <w:rPr>
          <w:rFonts w:asciiTheme="minorHAnsi" w:hAnsiTheme="minorHAnsi" w:cstheme="minorHAnsi"/>
          <w:sz w:val="22"/>
          <w:szCs w:val="22"/>
        </w:rPr>
      </w:pPr>
      <w:r>
        <w:rPr>
          <w:rFonts w:asciiTheme="minorHAnsi" w:hAnsiTheme="minorHAnsi" w:cstheme="minorHAnsi"/>
          <w:sz w:val="22"/>
          <w:szCs w:val="22"/>
        </w:rPr>
        <w:t>Bij Werkzaak is regelmatig de behoefte (bij het team Beleid) om kengetallen te ontvangen over andere onderwerpen in het sociaal domein. B.v. over aantallen arbeidsmatige dagbesteding, aantal inburgeraars, etc. Graag zien wij dat de gemeenten ons ook kunnen voorzien van beleidsinformati</w:t>
      </w:r>
      <w:r w:rsidR="00B746EF">
        <w:rPr>
          <w:rFonts w:asciiTheme="minorHAnsi" w:hAnsiTheme="minorHAnsi" w:cstheme="minorHAnsi"/>
          <w:sz w:val="22"/>
          <w:szCs w:val="22"/>
        </w:rPr>
        <w:t>e. Dit bespreken wij in het GBO.</w:t>
      </w:r>
    </w:p>
    <w:p w:rsidR="00EB428E" w:rsidRDefault="00EB428E" w:rsidP="00E55C6B">
      <w:pPr>
        <w:pStyle w:val="Koptekst"/>
        <w:tabs>
          <w:tab w:val="clear" w:pos="9072"/>
          <w:tab w:val="left" w:pos="4536"/>
        </w:tabs>
        <w:spacing w:line="240" w:lineRule="auto"/>
        <w:jc w:val="left"/>
        <w:rPr>
          <w:rFonts w:asciiTheme="minorHAnsi" w:hAnsiTheme="minorHAnsi" w:cstheme="minorHAnsi"/>
          <w:sz w:val="22"/>
          <w:szCs w:val="22"/>
        </w:rPr>
      </w:pPr>
    </w:p>
    <w:p w:rsidR="00EB428E" w:rsidRPr="00EB428E" w:rsidRDefault="00EB428E" w:rsidP="00EB428E">
      <w:pPr>
        <w:pStyle w:val="Koptekst"/>
        <w:tabs>
          <w:tab w:val="clear" w:pos="9072"/>
          <w:tab w:val="left" w:pos="4536"/>
        </w:tabs>
        <w:spacing w:line="240" w:lineRule="atLeast"/>
        <w:rPr>
          <w:rFonts w:asciiTheme="minorHAnsi" w:hAnsiTheme="minorHAnsi" w:cstheme="minorHAnsi"/>
          <w:b/>
          <w:color w:val="009FE3"/>
          <w:sz w:val="22"/>
          <w:szCs w:val="22"/>
        </w:rPr>
      </w:pPr>
      <w:r w:rsidRPr="00EB428E">
        <w:rPr>
          <w:rFonts w:asciiTheme="minorHAnsi" w:hAnsiTheme="minorHAnsi" w:cstheme="minorHAnsi"/>
          <w:b/>
          <w:color w:val="009FE3"/>
          <w:sz w:val="22"/>
          <w:szCs w:val="22"/>
        </w:rPr>
        <w:t xml:space="preserve">Gemeentespecifieke </w:t>
      </w:r>
      <w:r w:rsidR="004E590E">
        <w:rPr>
          <w:rFonts w:asciiTheme="minorHAnsi" w:hAnsiTheme="minorHAnsi" w:cstheme="minorHAnsi"/>
          <w:b/>
          <w:color w:val="009FE3"/>
          <w:sz w:val="22"/>
          <w:szCs w:val="22"/>
        </w:rPr>
        <w:t>paragraaf</w:t>
      </w:r>
    </w:p>
    <w:p w:rsidR="00EB428E" w:rsidRDefault="00EB428E" w:rsidP="00E55C6B">
      <w:pPr>
        <w:pStyle w:val="Koptekst"/>
        <w:tabs>
          <w:tab w:val="clear" w:pos="9072"/>
          <w:tab w:val="left" w:pos="4536"/>
        </w:tabs>
        <w:spacing w:line="240" w:lineRule="auto"/>
        <w:jc w:val="left"/>
        <w:rPr>
          <w:rFonts w:asciiTheme="minorHAnsi" w:hAnsiTheme="minorHAnsi" w:cstheme="minorHAnsi"/>
          <w:sz w:val="22"/>
          <w:szCs w:val="22"/>
        </w:rPr>
      </w:pPr>
      <w:r>
        <w:rPr>
          <w:rFonts w:asciiTheme="minorHAnsi" w:hAnsiTheme="minorHAnsi" w:cstheme="minorHAnsi"/>
          <w:sz w:val="22"/>
          <w:szCs w:val="22"/>
        </w:rPr>
        <w:t xml:space="preserve">Op nadrukkelijk verzoek, ontvangen </w:t>
      </w:r>
      <w:r w:rsidR="00DA0613">
        <w:rPr>
          <w:rFonts w:asciiTheme="minorHAnsi" w:hAnsiTheme="minorHAnsi" w:cstheme="minorHAnsi"/>
          <w:sz w:val="22"/>
          <w:szCs w:val="22"/>
        </w:rPr>
        <w:t>via de beleidsadviseurs in het GBO</w:t>
      </w:r>
      <w:r>
        <w:rPr>
          <w:rFonts w:asciiTheme="minorHAnsi" w:hAnsiTheme="minorHAnsi" w:cstheme="minorHAnsi"/>
          <w:sz w:val="22"/>
          <w:szCs w:val="22"/>
        </w:rPr>
        <w:t xml:space="preserve">, voegen wij </w:t>
      </w:r>
      <w:r w:rsidR="004E590E">
        <w:rPr>
          <w:rFonts w:asciiTheme="minorHAnsi" w:hAnsiTheme="minorHAnsi" w:cstheme="minorHAnsi"/>
          <w:sz w:val="22"/>
          <w:szCs w:val="22"/>
        </w:rPr>
        <w:t xml:space="preserve">per gemeente </w:t>
      </w:r>
      <w:r>
        <w:rPr>
          <w:rFonts w:asciiTheme="minorHAnsi" w:hAnsiTheme="minorHAnsi" w:cstheme="minorHAnsi"/>
          <w:sz w:val="22"/>
          <w:szCs w:val="22"/>
        </w:rPr>
        <w:t>een gemeentespecifieke paragraaf toe aan de tweemaandelijkse rapportage. Dit zijn schermafdrukjes van enkele belangrijke grafieken met alleen de getallen van de betreffende gemeente</w:t>
      </w:r>
      <w:r w:rsidR="004E590E">
        <w:rPr>
          <w:rFonts w:asciiTheme="minorHAnsi" w:hAnsiTheme="minorHAnsi" w:cstheme="minorHAnsi"/>
          <w:sz w:val="22"/>
          <w:szCs w:val="22"/>
        </w:rPr>
        <w:t>.</w:t>
      </w:r>
    </w:p>
    <w:p w:rsidR="00A844EF" w:rsidRPr="00EA47ED" w:rsidRDefault="00A844EF" w:rsidP="00E55C6B">
      <w:pPr>
        <w:pStyle w:val="Koptekst"/>
        <w:tabs>
          <w:tab w:val="clear" w:pos="9072"/>
          <w:tab w:val="left" w:pos="4536"/>
        </w:tabs>
        <w:spacing w:line="240" w:lineRule="auto"/>
        <w:jc w:val="left"/>
        <w:rPr>
          <w:rFonts w:asciiTheme="minorHAnsi" w:hAnsiTheme="minorHAnsi" w:cstheme="minorHAnsi"/>
          <w:sz w:val="22"/>
          <w:szCs w:val="22"/>
        </w:rPr>
      </w:pPr>
    </w:p>
    <w:p w:rsidR="004E590E" w:rsidRPr="004E590E" w:rsidRDefault="004E590E" w:rsidP="00E55C6B">
      <w:pPr>
        <w:pStyle w:val="Koptekst"/>
        <w:tabs>
          <w:tab w:val="clear" w:pos="9072"/>
          <w:tab w:val="left" w:pos="4536"/>
        </w:tabs>
        <w:spacing w:line="240" w:lineRule="atLeast"/>
        <w:rPr>
          <w:rFonts w:asciiTheme="minorHAnsi" w:hAnsiTheme="minorHAnsi" w:cstheme="minorHAnsi"/>
          <w:b/>
          <w:color w:val="009FE3"/>
          <w:sz w:val="22"/>
          <w:szCs w:val="22"/>
        </w:rPr>
      </w:pPr>
      <w:r w:rsidRPr="004E590E">
        <w:rPr>
          <w:rFonts w:asciiTheme="minorHAnsi" w:hAnsiTheme="minorHAnsi" w:cstheme="minorHAnsi"/>
          <w:b/>
          <w:color w:val="009FE3"/>
          <w:sz w:val="22"/>
          <w:szCs w:val="22"/>
        </w:rPr>
        <w:lastRenderedPageBreak/>
        <w:t>Risico</w:t>
      </w:r>
    </w:p>
    <w:p w:rsidR="004E590E" w:rsidRDefault="004E590E" w:rsidP="00DA0613">
      <w:pPr>
        <w:pStyle w:val="Koptekst"/>
        <w:tabs>
          <w:tab w:val="clear" w:pos="9072"/>
          <w:tab w:val="left" w:pos="4536"/>
        </w:tabs>
        <w:spacing w:line="240" w:lineRule="atLeast"/>
        <w:jc w:val="left"/>
        <w:rPr>
          <w:rFonts w:asciiTheme="minorHAnsi" w:hAnsiTheme="minorHAnsi" w:cstheme="minorHAnsi"/>
          <w:sz w:val="22"/>
          <w:szCs w:val="22"/>
        </w:rPr>
      </w:pPr>
      <w:r>
        <w:rPr>
          <w:rFonts w:asciiTheme="minorHAnsi" w:hAnsiTheme="minorHAnsi" w:cstheme="minorHAnsi"/>
          <w:sz w:val="22"/>
          <w:szCs w:val="22"/>
        </w:rPr>
        <w:t xml:space="preserve">Er zit </w:t>
      </w:r>
      <w:r w:rsidRPr="004E590E">
        <w:rPr>
          <w:rFonts w:asciiTheme="minorHAnsi" w:hAnsiTheme="minorHAnsi" w:cstheme="minorHAnsi"/>
          <w:sz w:val="22"/>
          <w:szCs w:val="22"/>
          <w:u w:val="single"/>
        </w:rPr>
        <w:t>geen</w:t>
      </w:r>
      <w:r>
        <w:rPr>
          <w:rFonts w:asciiTheme="minorHAnsi" w:hAnsiTheme="minorHAnsi" w:cstheme="minorHAnsi"/>
          <w:sz w:val="22"/>
          <w:szCs w:val="22"/>
        </w:rPr>
        <w:t xml:space="preserve"> relatie tussen de gemeentespecifieke kengetallen en de financiële afrekening op basis van solidariteit. Laat dit duidelijk zijn. </w:t>
      </w:r>
      <w:r w:rsidR="00DA0613">
        <w:rPr>
          <w:rFonts w:asciiTheme="minorHAnsi" w:hAnsiTheme="minorHAnsi" w:cstheme="minorHAnsi"/>
          <w:sz w:val="22"/>
          <w:szCs w:val="22"/>
        </w:rPr>
        <w:t>Een daling of stijging van aantal</w:t>
      </w:r>
      <w:r w:rsidR="001A2CA6">
        <w:rPr>
          <w:rFonts w:asciiTheme="minorHAnsi" w:hAnsiTheme="minorHAnsi" w:cstheme="minorHAnsi"/>
          <w:sz w:val="22"/>
          <w:szCs w:val="22"/>
        </w:rPr>
        <w:t>l</w:t>
      </w:r>
      <w:r w:rsidR="00DA0613">
        <w:rPr>
          <w:rFonts w:asciiTheme="minorHAnsi" w:hAnsiTheme="minorHAnsi" w:cstheme="minorHAnsi"/>
          <w:sz w:val="22"/>
          <w:szCs w:val="22"/>
        </w:rPr>
        <w:t xml:space="preserve">en betekent voor die gemeente </w:t>
      </w:r>
      <w:r w:rsidR="00DA0613" w:rsidRPr="00DA0613">
        <w:rPr>
          <w:rFonts w:asciiTheme="minorHAnsi" w:hAnsiTheme="minorHAnsi" w:cstheme="minorHAnsi"/>
          <w:sz w:val="22"/>
          <w:szCs w:val="22"/>
          <w:u w:val="single"/>
        </w:rPr>
        <w:t>niet</w:t>
      </w:r>
      <w:r w:rsidR="00DA0613">
        <w:rPr>
          <w:rFonts w:asciiTheme="minorHAnsi" w:hAnsiTheme="minorHAnsi" w:cstheme="minorHAnsi"/>
          <w:sz w:val="22"/>
          <w:szCs w:val="22"/>
        </w:rPr>
        <w:t xml:space="preserve"> meteen ook een daling of stijging van de bijdrage. Het solidariteitsprincipe is juist afgesproken om de de fluctuaties in de bijdragen van de gemeenten te dempen. </w:t>
      </w:r>
      <w:r>
        <w:rPr>
          <w:rFonts w:asciiTheme="minorHAnsi" w:hAnsiTheme="minorHAnsi" w:cstheme="minorHAnsi"/>
          <w:sz w:val="22"/>
          <w:szCs w:val="22"/>
        </w:rPr>
        <w:t>En dit willen we graag als risico benoe</w:t>
      </w:r>
      <w:r w:rsidR="00134EFB">
        <w:rPr>
          <w:rFonts w:asciiTheme="minorHAnsi" w:hAnsiTheme="minorHAnsi" w:cstheme="minorHAnsi"/>
          <w:sz w:val="22"/>
          <w:szCs w:val="22"/>
        </w:rPr>
        <w:t xml:space="preserve">md hebben, dat gemeenten dit anders </w:t>
      </w:r>
      <w:r>
        <w:rPr>
          <w:rFonts w:asciiTheme="minorHAnsi" w:hAnsiTheme="minorHAnsi" w:cstheme="minorHAnsi"/>
          <w:sz w:val="22"/>
          <w:szCs w:val="22"/>
        </w:rPr>
        <w:t>zouden kunnen gaan duiden.</w:t>
      </w:r>
    </w:p>
    <w:p w:rsidR="004E590E" w:rsidRPr="00EA47ED" w:rsidRDefault="004E590E" w:rsidP="00E55C6B">
      <w:pPr>
        <w:pStyle w:val="Koptekst"/>
        <w:tabs>
          <w:tab w:val="clear" w:pos="9072"/>
          <w:tab w:val="left" w:pos="4536"/>
        </w:tabs>
        <w:spacing w:line="240" w:lineRule="atLeast"/>
        <w:rPr>
          <w:rFonts w:asciiTheme="minorHAnsi" w:hAnsiTheme="minorHAnsi" w:cstheme="minorHAnsi"/>
          <w:sz w:val="22"/>
          <w:szCs w:val="22"/>
        </w:rPr>
      </w:pPr>
    </w:p>
    <w:p w:rsidR="00E55C6B" w:rsidRPr="00EA47ED" w:rsidRDefault="00E55C6B" w:rsidP="00E55C6B">
      <w:pPr>
        <w:pStyle w:val="Koptekst"/>
        <w:tabs>
          <w:tab w:val="clear" w:pos="9072"/>
          <w:tab w:val="left" w:pos="4536"/>
        </w:tabs>
        <w:spacing w:line="240" w:lineRule="atLeast"/>
        <w:rPr>
          <w:rFonts w:asciiTheme="minorHAnsi" w:hAnsiTheme="minorHAnsi" w:cstheme="minorHAnsi"/>
          <w:b/>
          <w:color w:val="009FE3"/>
          <w:sz w:val="22"/>
          <w:szCs w:val="22"/>
        </w:rPr>
      </w:pPr>
      <w:r w:rsidRPr="00EA47ED">
        <w:rPr>
          <w:rFonts w:asciiTheme="minorHAnsi" w:hAnsiTheme="minorHAnsi" w:cstheme="minorHAnsi"/>
          <w:b/>
          <w:color w:val="009FE3"/>
          <w:sz w:val="22"/>
          <w:szCs w:val="22"/>
        </w:rPr>
        <w:t>Beoogd effect</w:t>
      </w:r>
    </w:p>
    <w:p w:rsidR="00E55C6B" w:rsidRDefault="00E55C6B" w:rsidP="00E55C6B">
      <w:pPr>
        <w:pStyle w:val="Lijstalinea"/>
        <w:numPr>
          <w:ilvl w:val="0"/>
          <w:numId w:val="12"/>
        </w:numPr>
        <w:spacing w:line="240" w:lineRule="auto"/>
        <w:jc w:val="left"/>
        <w:rPr>
          <w:rFonts w:asciiTheme="minorHAnsi" w:eastAsia="Calibri" w:hAnsiTheme="minorHAnsi" w:cstheme="minorHAnsi"/>
          <w:sz w:val="22"/>
          <w:szCs w:val="22"/>
          <w:lang w:eastAsia="en-US"/>
        </w:rPr>
      </w:pPr>
      <w:r w:rsidRPr="003C59D6">
        <w:rPr>
          <w:rFonts w:asciiTheme="minorHAnsi" w:eastAsia="Calibri" w:hAnsiTheme="minorHAnsi" w:cstheme="minorHAnsi"/>
          <w:sz w:val="22"/>
          <w:szCs w:val="22"/>
          <w:lang w:eastAsia="en-US"/>
        </w:rPr>
        <w:t xml:space="preserve">De gemeenten hebben een goed inzicht in de </w:t>
      </w:r>
      <w:r w:rsidR="004E1507">
        <w:rPr>
          <w:rFonts w:asciiTheme="minorHAnsi" w:eastAsia="Calibri" w:hAnsiTheme="minorHAnsi" w:cstheme="minorHAnsi"/>
          <w:sz w:val="22"/>
          <w:szCs w:val="22"/>
          <w:lang w:eastAsia="en-US"/>
        </w:rPr>
        <w:t>twee</w:t>
      </w:r>
      <w:r>
        <w:rPr>
          <w:rFonts w:asciiTheme="minorHAnsi" w:eastAsia="Calibri" w:hAnsiTheme="minorHAnsi" w:cstheme="minorHAnsi"/>
          <w:sz w:val="22"/>
          <w:szCs w:val="22"/>
          <w:lang w:eastAsia="en-US"/>
        </w:rPr>
        <w:t xml:space="preserve">maandelijkse </w:t>
      </w:r>
      <w:r w:rsidRPr="003C59D6">
        <w:rPr>
          <w:rFonts w:asciiTheme="minorHAnsi" w:eastAsia="Calibri" w:hAnsiTheme="minorHAnsi" w:cstheme="minorHAnsi"/>
          <w:sz w:val="22"/>
          <w:szCs w:val="22"/>
          <w:lang w:eastAsia="en-US"/>
        </w:rPr>
        <w:t>ontwikkeling van onze dienstverlening op Werkzaak-niveau.</w:t>
      </w:r>
    </w:p>
    <w:p w:rsidR="00E55C6B" w:rsidRPr="003C59D6" w:rsidRDefault="00E55C6B" w:rsidP="00E55C6B">
      <w:pPr>
        <w:pStyle w:val="Lijstalinea"/>
        <w:numPr>
          <w:ilvl w:val="0"/>
          <w:numId w:val="12"/>
        </w:numPr>
        <w:spacing w:line="240" w:lineRule="auto"/>
        <w:jc w:val="left"/>
        <w:rPr>
          <w:rFonts w:asciiTheme="minorHAnsi" w:eastAsia="Calibri" w:hAnsiTheme="minorHAnsi" w:cstheme="minorHAnsi"/>
          <w:sz w:val="22"/>
          <w:szCs w:val="22"/>
          <w:lang w:eastAsia="en-US"/>
        </w:rPr>
      </w:pPr>
      <w:r w:rsidRPr="003C59D6">
        <w:rPr>
          <w:rFonts w:asciiTheme="minorHAnsi" w:eastAsia="Calibri" w:hAnsiTheme="minorHAnsi" w:cstheme="minorHAnsi"/>
          <w:sz w:val="22"/>
          <w:szCs w:val="22"/>
          <w:lang w:eastAsia="en-US"/>
        </w:rPr>
        <w:t>Het is een opstap naar een toekomstige oplossing via dashboards.</w:t>
      </w:r>
    </w:p>
    <w:p w:rsidR="00E55C6B" w:rsidRPr="00EA47ED" w:rsidRDefault="00E55C6B" w:rsidP="00E55C6B">
      <w:pPr>
        <w:pStyle w:val="Koptekst"/>
        <w:tabs>
          <w:tab w:val="clear" w:pos="9072"/>
          <w:tab w:val="left" w:pos="4536"/>
        </w:tabs>
        <w:spacing w:line="240" w:lineRule="atLeast"/>
        <w:rPr>
          <w:rFonts w:asciiTheme="minorHAnsi" w:hAnsiTheme="minorHAnsi" w:cstheme="minorHAnsi"/>
          <w:sz w:val="22"/>
          <w:szCs w:val="22"/>
        </w:rPr>
      </w:pPr>
    </w:p>
    <w:p w:rsidR="00E55C6B" w:rsidRPr="00EA47ED" w:rsidRDefault="00E55C6B" w:rsidP="00E55C6B">
      <w:pPr>
        <w:rPr>
          <w:rFonts w:asciiTheme="minorHAnsi" w:hAnsiTheme="minorHAnsi" w:cstheme="minorHAnsi"/>
          <w:b/>
          <w:color w:val="009FE3"/>
          <w:sz w:val="22"/>
          <w:szCs w:val="22"/>
        </w:rPr>
      </w:pPr>
      <w:r w:rsidRPr="00EA47ED">
        <w:rPr>
          <w:rFonts w:asciiTheme="minorHAnsi" w:hAnsiTheme="minorHAnsi" w:cstheme="minorHAnsi"/>
          <w:b/>
          <w:color w:val="009FE3"/>
          <w:sz w:val="22"/>
          <w:szCs w:val="22"/>
        </w:rPr>
        <w:t>Argumenten</w:t>
      </w:r>
    </w:p>
    <w:p w:rsidR="00E55C6B" w:rsidRPr="00EA47ED" w:rsidRDefault="00E55C6B" w:rsidP="00E55C6B">
      <w:pPr>
        <w:spacing w:line="240" w:lineRule="auto"/>
        <w:ind w:left="709" w:hanging="709"/>
        <w:jc w:val="left"/>
        <w:rPr>
          <w:rFonts w:asciiTheme="minorHAnsi" w:hAnsiTheme="minorHAnsi" w:cstheme="minorHAnsi"/>
          <w:sz w:val="22"/>
          <w:szCs w:val="22"/>
        </w:rPr>
      </w:pPr>
      <w:r w:rsidRPr="00EA47ED">
        <w:rPr>
          <w:rFonts w:asciiTheme="minorHAnsi" w:hAnsiTheme="minorHAnsi" w:cstheme="minorHAnsi"/>
          <w:sz w:val="22"/>
          <w:szCs w:val="22"/>
        </w:rPr>
        <w:t xml:space="preserve">Ad 1. </w:t>
      </w:r>
      <w:r w:rsidRPr="00EA47ED">
        <w:rPr>
          <w:rFonts w:asciiTheme="minorHAnsi" w:hAnsiTheme="minorHAnsi" w:cstheme="minorHAnsi"/>
          <w:sz w:val="22"/>
          <w:szCs w:val="22"/>
        </w:rPr>
        <w:tab/>
        <w:t>De nieuwe opzet geeft het AB de gewenste informatie over onze dienstverlening en kan relatief gemakkelijk worden samengesteld uit de interne dashboards binnen Werkzaak.</w:t>
      </w:r>
    </w:p>
    <w:p w:rsidR="00E55C6B" w:rsidRPr="00EA47ED" w:rsidRDefault="00E55C6B" w:rsidP="00E55C6B">
      <w:pPr>
        <w:spacing w:line="240" w:lineRule="auto"/>
        <w:ind w:left="709" w:hanging="709"/>
        <w:jc w:val="left"/>
        <w:rPr>
          <w:rFonts w:asciiTheme="minorHAnsi" w:hAnsiTheme="minorHAnsi" w:cstheme="minorHAnsi"/>
          <w:sz w:val="22"/>
          <w:szCs w:val="22"/>
        </w:rPr>
      </w:pPr>
      <w:r w:rsidRPr="00EA47ED">
        <w:rPr>
          <w:rFonts w:asciiTheme="minorHAnsi" w:hAnsiTheme="minorHAnsi" w:cstheme="minorHAnsi"/>
          <w:sz w:val="22"/>
          <w:szCs w:val="22"/>
        </w:rPr>
        <w:t xml:space="preserve">Ad 2. </w:t>
      </w:r>
      <w:r w:rsidRPr="00EA47ED">
        <w:rPr>
          <w:rFonts w:asciiTheme="minorHAnsi" w:hAnsiTheme="minorHAnsi" w:cstheme="minorHAnsi"/>
          <w:sz w:val="22"/>
          <w:szCs w:val="22"/>
        </w:rPr>
        <w:tab/>
        <w:t>Voor de ontwikkeling van realtime dashboards die via het internet zijn te benaderen hebben wij meer tijd nodig. Een opleverdatum daarvoor kan nu niet gegeven worden.</w:t>
      </w:r>
    </w:p>
    <w:p w:rsidR="00E55C6B" w:rsidRPr="00EA47ED" w:rsidRDefault="00E55C6B" w:rsidP="00E55C6B">
      <w:pPr>
        <w:pStyle w:val="Koptekst"/>
        <w:tabs>
          <w:tab w:val="clear" w:pos="9072"/>
          <w:tab w:val="left" w:pos="4536"/>
        </w:tabs>
        <w:spacing w:line="240" w:lineRule="atLeast"/>
        <w:rPr>
          <w:rFonts w:asciiTheme="minorHAnsi" w:hAnsiTheme="minorHAnsi" w:cstheme="minorHAnsi"/>
          <w:sz w:val="22"/>
          <w:szCs w:val="22"/>
        </w:rPr>
      </w:pPr>
    </w:p>
    <w:p w:rsidR="00E55C6B" w:rsidRDefault="00E55C6B" w:rsidP="00E55C6B">
      <w:pPr>
        <w:pStyle w:val="Koptekst"/>
        <w:tabs>
          <w:tab w:val="clear" w:pos="9072"/>
          <w:tab w:val="left" w:pos="4536"/>
        </w:tabs>
        <w:spacing w:line="240" w:lineRule="auto"/>
        <w:jc w:val="left"/>
        <w:rPr>
          <w:rFonts w:asciiTheme="minorHAnsi" w:hAnsiTheme="minorHAnsi" w:cstheme="minorHAnsi"/>
          <w:sz w:val="22"/>
          <w:szCs w:val="22"/>
        </w:rPr>
      </w:pPr>
      <w:r w:rsidRPr="00EA47ED">
        <w:rPr>
          <w:rFonts w:asciiTheme="minorHAnsi" w:hAnsiTheme="minorHAnsi" w:cstheme="minorHAnsi"/>
          <w:sz w:val="22"/>
          <w:szCs w:val="22"/>
        </w:rPr>
        <w:t xml:space="preserve">Wij rekenen er </w:t>
      </w:r>
      <w:r>
        <w:rPr>
          <w:rFonts w:asciiTheme="minorHAnsi" w:hAnsiTheme="minorHAnsi" w:cstheme="minorHAnsi"/>
          <w:sz w:val="22"/>
          <w:szCs w:val="22"/>
        </w:rPr>
        <w:t xml:space="preserve">op dat wij via de gemailde </w:t>
      </w:r>
      <w:r w:rsidRPr="00EA47ED">
        <w:rPr>
          <w:rFonts w:asciiTheme="minorHAnsi" w:hAnsiTheme="minorHAnsi" w:cstheme="minorHAnsi"/>
          <w:sz w:val="22"/>
          <w:szCs w:val="22"/>
        </w:rPr>
        <w:t xml:space="preserve">rapportages de gemeenten voorzien in hun behoefte. De rapportages kunnen uiteraard </w:t>
      </w:r>
      <w:r>
        <w:rPr>
          <w:rFonts w:asciiTheme="minorHAnsi" w:hAnsiTheme="minorHAnsi" w:cstheme="minorHAnsi"/>
          <w:sz w:val="22"/>
          <w:szCs w:val="22"/>
        </w:rPr>
        <w:t xml:space="preserve">in de toekomst </w:t>
      </w:r>
      <w:r w:rsidRPr="00EA47ED">
        <w:rPr>
          <w:rFonts w:asciiTheme="minorHAnsi" w:hAnsiTheme="minorHAnsi" w:cstheme="minorHAnsi"/>
          <w:sz w:val="22"/>
          <w:szCs w:val="22"/>
        </w:rPr>
        <w:t>naar behoefte en binnen de kaders van de mogelijkheden worden uitgebreid.</w:t>
      </w:r>
      <w:r>
        <w:rPr>
          <w:rFonts w:asciiTheme="minorHAnsi" w:hAnsiTheme="minorHAnsi" w:cstheme="minorHAnsi"/>
          <w:sz w:val="22"/>
          <w:szCs w:val="22"/>
        </w:rPr>
        <w:t xml:space="preserve"> </w:t>
      </w:r>
      <w:r w:rsidRPr="00EA47ED">
        <w:rPr>
          <w:rFonts w:asciiTheme="minorHAnsi" w:hAnsiTheme="minorHAnsi" w:cstheme="minorHAnsi"/>
          <w:sz w:val="22"/>
          <w:szCs w:val="22"/>
        </w:rPr>
        <w:t xml:space="preserve">Door met elkaar in gesprek te blijven over het gewenste inzicht in onze dienstverlening, zullen de maandrapportages doorontwikkelen naar een instrument dat steeds meer de gewenste informatie geeft. </w:t>
      </w:r>
    </w:p>
    <w:p w:rsidR="00E55C6B" w:rsidRPr="00EA47ED" w:rsidRDefault="00E55C6B" w:rsidP="00E55C6B">
      <w:pPr>
        <w:pStyle w:val="Koptekst"/>
        <w:tabs>
          <w:tab w:val="clear" w:pos="9072"/>
          <w:tab w:val="left" w:pos="4536"/>
        </w:tabs>
        <w:spacing w:line="240" w:lineRule="atLeast"/>
        <w:rPr>
          <w:rFonts w:asciiTheme="minorHAnsi" w:hAnsiTheme="minorHAnsi" w:cstheme="minorHAnsi"/>
          <w:sz w:val="22"/>
          <w:szCs w:val="22"/>
        </w:rPr>
      </w:pPr>
    </w:p>
    <w:p w:rsidR="00E20822" w:rsidRPr="00186BDD" w:rsidRDefault="00E20822" w:rsidP="00E90981">
      <w:pPr>
        <w:rPr>
          <w:rFonts w:ascii="Calibri" w:hAnsi="Calibri"/>
          <w:b/>
          <w:color w:val="009FE3"/>
          <w:sz w:val="22"/>
          <w:szCs w:val="22"/>
        </w:rPr>
      </w:pPr>
      <w:r w:rsidRPr="00186BDD">
        <w:rPr>
          <w:rFonts w:ascii="Calibri" w:hAnsi="Calibri"/>
          <w:b/>
          <w:color w:val="009FE3"/>
          <w:sz w:val="22"/>
          <w:szCs w:val="22"/>
        </w:rPr>
        <w:t>Bedrijfsvoering</w:t>
      </w:r>
    </w:p>
    <w:p w:rsidR="00E20822" w:rsidRPr="00186BDD" w:rsidRDefault="00E20822" w:rsidP="00E20822">
      <w:pPr>
        <w:pStyle w:val="commentaar"/>
        <w:rPr>
          <w:rFonts w:ascii="Calibri" w:hAnsi="Calibri"/>
          <w:sz w:val="22"/>
          <w:szCs w:val="22"/>
        </w:rPr>
      </w:pPr>
      <w:r w:rsidRPr="00186BDD">
        <w:rPr>
          <w:rFonts w:ascii="Calibri" w:hAnsi="Calibri"/>
          <w:sz w:val="22"/>
          <w:szCs w:val="22"/>
        </w:rPr>
        <w:t>Financieel</w:t>
      </w:r>
    </w:p>
    <w:p w:rsidR="00E20822" w:rsidRPr="00186BDD" w:rsidRDefault="00BD2D69" w:rsidP="00E20822">
      <w:pPr>
        <w:pStyle w:val="Koptekst"/>
        <w:tabs>
          <w:tab w:val="clear" w:pos="9072"/>
          <w:tab w:val="left" w:pos="4536"/>
        </w:tabs>
        <w:rPr>
          <w:rFonts w:ascii="Calibri" w:hAnsi="Calibri"/>
          <w:sz w:val="22"/>
          <w:szCs w:val="22"/>
        </w:rPr>
      </w:pPr>
      <w:r>
        <w:rPr>
          <w:rFonts w:ascii="Calibri" w:hAnsi="Calibri"/>
          <w:sz w:val="22"/>
          <w:szCs w:val="22"/>
        </w:rPr>
        <w:t>-</w:t>
      </w:r>
    </w:p>
    <w:p w:rsidR="00406204" w:rsidRPr="00186BDD" w:rsidRDefault="00406204" w:rsidP="00E20822">
      <w:pPr>
        <w:pStyle w:val="Koptekst"/>
        <w:tabs>
          <w:tab w:val="clear" w:pos="9072"/>
          <w:tab w:val="left" w:pos="4536"/>
        </w:tabs>
        <w:rPr>
          <w:rFonts w:ascii="Calibri" w:hAnsi="Calibri"/>
          <w:sz w:val="22"/>
          <w:szCs w:val="22"/>
        </w:rPr>
      </w:pPr>
    </w:p>
    <w:p w:rsidR="00E20822" w:rsidRPr="00186BDD" w:rsidRDefault="00E20822" w:rsidP="00E20822">
      <w:pPr>
        <w:pStyle w:val="commentaar"/>
        <w:rPr>
          <w:rFonts w:ascii="Calibri" w:hAnsi="Calibri"/>
          <w:sz w:val="22"/>
          <w:szCs w:val="22"/>
        </w:rPr>
      </w:pPr>
      <w:r w:rsidRPr="00186BDD">
        <w:rPr>
          <w:rFonts w:ascii="Calibri" w:hAnsi="Calibri"/>
          <w:sz w:val="22"/>
          <w:szCs w:val="22"/>
        </w:rPr>
        <w:t>Personeel en organisatie</w:t>
      </w:r>
    </w:p>
    <w:p w:rsidR="00E20822" w:rsidRPr="00186BDD" w:rsidRDefault="00BD2D69" w:rsidP="00E20822">
      <w:pPr>
        <w:pStyle w:val="Koptekst"/>
        <w:tabs>
          <w:tab w:val="clear" w:pos="9072"/>
          <w:tab w:val="left" w:pos="4536"/>
        </w:tabs>
        <w:rPr>
          <w:rFonts w:ascii="Calibri" w:hAnsi="Calibri"/>
          <w:sz w:val="22"/>
          <w:szCs w:val="22"/>
        </w:rPr>
      </w:pPr>
      <w:r>
        <w:rPr>
          <w:rFonts w:ascii="Calibri" w:hAnsi="Calibri"/>
          <w:sz w:val="22"/>
          <w:szCs w:val="22"/>
        </w:rPr>
        <w:t>-</w:t>
      </w:r>
    </w:p>
    <w:p w:rsidR="00406204" w:rsidRPr="00186BDD" w:rsidRDefault="00406204" w:rsidP="00E20822">
      <w:pPr>
        <w:pStyle w:val="Koptekst"/>
        <w:tabs>
          <w:tab w:val="clear" w:pos="9072"/>
          <w:tab w:val="left" w:pos="4536"/>
        </w:tabs>
        <w:rPr>
          <w:rFonts w:ascii="Calibri" w:hAnsi="Calibri"/>
          <w:sz w:val="22"/>
          <w:szCs w:val="22"/>
        </w:rPr>
      </w:pPr>
    </w:p>
    <w:p w:rsidR="00E20822" w:rsidRPr="00186BDD" w:rsidRDefault="00E20822" w:rsidP="00E20822">
      <w:pPr>
        <w:rPr>
          <w:rFonts w:ascii="Calibri" w:hAnsi="Calibri"/>
          <w:i/>
          <w:sz w:val="22"/>
          <w:szCs w:val="22"/>
        </w:rPr>
      </w:pPr>
      <w:r w:rsidRPr="00186BDD">
        <w:rPr>
          <w:rFonts w:ascii="Calibri" w:hAnsi="Calibri"/>
          <w:i/>
          <w:sz w:val="22"/>
          <w:szCs w:val="22"/>
        </w:rPr>
        <w:t>Communicatie</w:t>
      </w:r>
    </w:p>
    <w:p w:rsidR="00E20822" w:rsidRDefault="00BD2D69" w:rsidP="00E20822">
      <w:pPr>
        <w:pStyle w:val="Koptekst"/>
        <w:tabs>
          <w:tab w:val="clear" w:pos="9072"/>
          <w:tab w:val="left" w:pos="4536"/>
        </w:tabs>
        <w:rPr>
          <w:rFonts w:ascii="Calibri" w:hAnsi="Calibri"/>
          <w:sz w:val="22"/>
          <w:szCs w:val="22"/>
        </w:rPr>
      </w:pPr>
      <w:r>
        <w:rPr>
          <w:rFonts w:ascii="Calibri" w:hAnsi="Calibri"/>
          <w:sz w:val="22"/>
          <w:szCs w:val="22"/>
        </w:rPr>
        <w:t>-</w:t>
      </w:r>
    </w:p>
    <w:p w:rsidR="00BD2D69" w:rsidRPr="00186BDD" w:rsidRDefault="00BD2D69" w:rsidP="00E20822">
      <w:pPr>
        <w:pStyle w:val="Koptekst"/>
        <w:tabs>
          <w:tab w:val="clear" w:pos="9072"/>
          <w:tab w:val="left" w:pos="4536"/>
        </w:tabs>
        <w:rPr>
          <w:rFonts w:ascii="Calibri" w:hAnsi="Calibri"/>
          <w:sz w:val="22"/>
          <w:szCs w:val="22"/>
        </w:rPr>
      </w:pPr>
    </w:p>
    <w:p w:rsidR="00E20822" w:rsidRPr="00186BDD" w:rsidRDefault="00E20822" w:rsidP="00E20822">
      <w:pPr>
        <w:rPr>
          <w:rFonts w:ascii="Calibri" w:hAnsi="Calibri"/>
          <w:i/>
          <w:sz w:val="22"/>
          <w:szCs w:val="22"/>
        </w:rPr>
      </w:pPr>
      <w:r w:rsidRPr="00186BDD">
        <w:rPr>
          <w:rFonts w:ascii="Calibri" w:hAnsi="Calibri"/>
          <w:i/>
          <w:sz w:val="22"/>
          <w:szCs w:val="22"/>
        </w:rPr>
        <w:t>Juridische zaken</w:t>
      </w:r>
    </w:p>
    <w:p w:rsidR="00E20822" w:rsidRPr="00186BDD" w:rsidRDefault="00BD2D69" w:rsidP="00E20822">
      <w:pPr>
        <w:pStyle w:val="Koptekst"/>
        <w:tabs>
          <w:tab w:val="clear" w:pos="9072"/>
          <w:tab w:val="left" w:pos="4536"/>
        </w:tabs>
        <w:rPr>
          <w:rFonts w:ascii="Calibri" w:hAnsi="Calibri"/>
          <w:sz w:val="22"/>
          <w:szCs w:val="22"/>
        </w:rPr>
      </w:pPr>
      <w:r>
        <w:rPr>
          <w:rFonts w:ascii="Calibri" w:hAnsi="Calibri"/>
          <w:sz w:val="22"/>
          <w:szCs w:val="22"/>
        </w:rPr>
        <w:t>-</w:t>
      </w:r>
    </w:p>
    <w:p w:rsidR="00E20822" w:rsidRPr="00186BDD" w:rsidRDefault="00E20822" w:rsidP="00E20822">
      <w:pPr>
        <w:pStyle w:val="Koptekst"/>
        <w:tabs>
          <w:tab w:val="clear" w:pos="9072"/>
          <w:tab w:val="left" w:pos="4536"/>
        </w:tabs>
        <w:rPr>
          <w:rFonts w:ascii="Calibri" w:hAnsi="Calibri"/>
          <w:sz w:val="22"/>
          <w:szCs w:val="22"/>
        </w:rPr>
      </w:pPr>
    </w:p>
    <w:p w:rsidR="0025796E" w:rsidRPr="00EA30C2" w:rsidRDefault="006E7D3E" w:rsidP="0025796E">
      <w:pPr>
        <w:rPr>
          <w:rFonts w:ascii="Calibri" w:hAnsi="Calibri"/>
          <w:i/>
          <w:sz w:val="22"/>
          <w:szCs w:val="22"/>
        </w:rPr>
      </w:pPr>
      <w:r w:rsidRPr="00186BDD">
        <w:rPr>
          <w:rFonts w:ascii="Calibri" w:hAnsi="Calibri"/>
          <w:i/>
          <w:sz w:val="22"/>
          <w:szCs w:val="22"/>
        </w:rPr>
        <w:t>Routing na besluitvorming A</w:t>
      </w:r>
      <w:r w:rsidR="0025796E" w:rsidRPr="00186BDD">
        <w:rPr>
          <w:rFonts w:ascii="Calibri" w:hAnsi="Calibri"/>
          <w:i/>
          <w:sz w:val="22"/>
          <w:szCs w:val="22"/>
        </w:rPr>
        <w:t>B</w:t>
      </w:r>
    </w:p>
    <w:p w:rsidR="0025796E" w:rsidRPr="00EA30C2" w:rsidRDefault="00965DBC" w:rsidP="00E20822">
      <w:pPr>
        <w:pStyle w:val="Koptekst"/>
        <w:tabs>
          <w:tab w:val="clear" w:pos="9072"/>
          <w:tab w:val="left" w:pos="4536"/>
        </w:tabs>
        <w:rPr>
          <w:rFonts w:ascii="Calibri" w:hAnsi="Calibri"/>
          <w:sz w:val="22"/>
          <w:szCs w:val="22"/>
        </w:rPr>
      </w:pPr>
      <w:r>
        <w:rPr>
          <w:rFonts w:ascii="Calibri" w:hAnsi="Calibri"/>
          <w:sz w:val="22"/>
          <w:szCs w:val="22"/>
        </w:rPr>
        <w:t>Naar secretariaat Werkzaak</w:t>
      </w:r>
    </w:p>
    <w:p w:rsidR="0025796E" w:rsidRPr="00EA30C2" w:rsidRDefault="0025796E" w:rsidP="00E20822">
      <w:pPr>
        <w:pStyle w:val="Koptekst"/>
        <w:tabs>
          <w:tab w:val="clear" w:pos="9072"/>
          <w:tab w:val="left" w:pos="4536"/>
        </w:tabs>
        <w:rPr>
          <w:rFonts w:ascii="Calibri" w:hAnsi="Calibri"/>
          <w:sz w:val="22"/>
          <w:szCs w:val="22"/>
        </w:rPr>
      </w:pPr>
    </w:p>
    <w:p w:rsidR="0074681D" w:rsidRPr="00EA47ED" w:rsidRDefault="0074681D" w:rsidP="0074681D">
      <w:pPr>
        <w:rPr>
          <w:rFonts w:asciiTheme="minorHAnsi" w:hAnsiTheme="minorHAnsi" w:cstheme="minorHAnsi"/>
          <w:b/>
          <w:color w:val="009FE3"/>
          <w:sz w:val="22"/>
          <w:szCs w:val="22"/>
        </w:rPr>
      </w:pPr>
      <w:r w:rsidRPr="00EA47ED">
        <w:rPr>
          <w:rFonts w:asciiTheme="minorHAnsi" w:hAnsiTheme="minorHAnsi" w:cstheme="minorHAnsi"/>
          <w:b/>
          <w:color w:val="009FE3"/>
          <w:sz w:val="22"/>
          <w:szCs w:val="22"/>
        </w:rPr>
        <w:t>Evaluatie</w:t>
      </w:r>
    </w:p>
    <w:p w:rsidR="0074681D" w:rsidRPr="00EA47ED" w:rsidRDefault="00E6745A" w:rsidP="00E6745A">
      <w:pPr>
        <w:jc w:val="left"/>
        <w:rPr>
          <w:rFonts w:asciiTheme="minorHAnsi" w:hAnsiTheme="minorHAnsi" w:cstheme="minorHAnsi"/>
          <w:sz w:val="22"/>
          <w:szCs w:val="22"/>
        </w:rPr>
      </w:pPr>
      <w:r>
        <w:rPr>
          <w:rFonts w:asciiTheme="minorHAnsi" w:hAnsiTheme="minorHAnsi" w:cstheme="minorHAnsi"/>
          <w:sz w:val="22"/>
          <w:szCs w:val="22"/>
        </w:rPr>
        <w:t xml:space="preserve">Na </w:t>
      </w:r>
      <w:r w:rsidR="0074681D" w:rsidRPr="00EA47ED">
        <w:rPr>
          <w:rFonts w:asciiTheme="minorHAnsi" w:hAnsiTheme="minorHAnsi" w:cstheme="minorHAnsi"/>
          <w:sz w:val="22"/>
          <w:szCs w:val="22"/>
        </w:rPr>
        <w:t>zes maanden de maandrapportages evalueren. Werkzaak neemt daartoe het initiatief met een kleine enquête</w:t>
      </w:r>
      <w:r w:rsidR="0074681D">
        <w:rPr>
          <w:rFonts w:asciiTheme="minorHAnsi" w:hAnsiTheme="minorHAnsi" w:cstheme="minorHAnsi"/>
          <w:sz w:val="22"/>
          <w:szCs w:val="22"/>
        </w:rPr>
        <w:t xml:space="preserve"> onder AB-leden en GBO-leden</w:t>
      </w:r>
      <w:r w:rsidR="0074681D" w:rsidRPr="00EA47ED">
        <w:rPr>
          <w:rFonts w:asciiTheme="minorHAnsi" w:hAnsiTheme="minorHAnsi" w:cstheme="minorHAnsi"/>
          <w:sz w:val="22"/>
          <w:szCs w:val="22"/>
        </w:rPr>
        <w:t>.</w:t>
      </w:r>
    </w:p>
    <w:p w:rsidR="002C5A4D" w:rsidRPr="00EA30C2" w:rsidRDefault="002C5A4D" w:rsidP="002C5A4D">
      <w:pPr>
        <w:pStyle w:val="Koptekst"/>
        <w:tabs>
          <w:tab w:val="clear" w:pos="9072"/>
          <w:tab w:val="left" w:pos="4536"/>
        </w:tabs>
        <w:spacing w:line="240" w:lineRule="atLeast"/>
        <w:rPr>
          <w:rFonts w:ascii="Calibri" w:hAnsi="Calibri" w:cs="Arial"/>
          <w:sz w:val="22"/>
          <w:szCs w:val="22"/>
        </w:rPr>
      </w:pPr>
    </w:p>
    <w:sectPr w:rsidR="002C5A4D" w:rsidRPr="00EA30C2" w:rsidSect="00C53153">
      <w:headerReference w:type="default" r:id="rId8"/>
      <w:footerReference w:type="even" r:id="rId9"/>
      <w:footerReference w:type="default" r:id="rId10"/>
      <w:pgSz w:w="11906" w:h="16838" w:code="9"/>
      <w:pgMar w:top="2835"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BA" w:rsidRDefault="00B613BA">
      <w:r>
        <w:separator/>
      </w:r>
    </w:p>
  </w:endnote>
  <w:endnote w:type="continuationSeparator" w:id="0">
    <w:p w:rsidR="00B613BA" w:rsidRDefault="00B6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1B" w:rsidRDefault="006D3D1B" w:rsidP="001B2BC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6D3D1B" w:rsidRDefault="006D3D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1B" w:rsidRPr="000767C4" w:rsidRDefault="006D3D1B" w:rsidP="001B2BCB">
    <w:pPr>
      <w:pStyle w:val="Voettekst"/>
      <w:framePr w:wrap="around" w:vAnchor="text" w:hAnchor="margin" w:xAlign="center" w:y="1"/>
      <w:rPr>
        <w:rStyle w:val="Paginanummer"/>
        <w:color w:val="A6A6A6" w:themeColor="background1" w:themeShade="A6"/>
      </w:rPr>
    </w:pPr>
    <w:r w:rsidRPr="000767C4">
      <w:rPr>
        <w:rStyle w:val="Paginanummer"/>
        <w:color w:val="A6A6A6" w:themeColor="background1" w:themeShade="A6"/>
      </w:rPr>
      <w:fldChar w:fldCharType="begin"/>
    </w:r>
    <w:r w:rsidRPr="000767C4">
      <w:rPr>
        <w:rStyle w:val="Paginanummer"/>
        <w:color w:val="A6A6A6" w:themeColor="background1" w:themeShade="A6"/>
      </w:rPr>
      <w:instrText xml:space="preserve">PAGE  </w:instrText>
    </w:r>
    <w:r w:rsidRPr="000767C4">
      <w:rPr>
        <w:rStyle w:val="Paginanummer"/>
        <w:color w:val="A6A6A6" w:themeColor="background1" w:themeShade="A6"/>
      </w:rPr>
      <w:fldChar w:fldCharType="separate"/>
    </w:r>
    <w:r w:rsidR="00E94749">
      <w:rPr>
        <w:rStyle w:val="Paginanummer"/>
        <w:noProof/>
        <w:color w:val="A6A6A6" w:themeColor="background1" w:themeShade="A6"/>
      </w:rPr>
      <w:t>3</w:t>
    </w:r>
    <w:r w:rsidRPr="000767C4">
      <w:rPr>
        <w:rStyle w:val="Paginanummer"/>
        <w:color w:val="A6A6A6" w:themeColor="background1" w:themeShade="A6"/>
      </w:rPr>
      <w:fldChar w:fldCharType="end"/>
    </w:r>
  </w:p>
  <w:p w:rsidR="006D3D1B" w:rsidRPr="000767C4" w:rsidRDefault="006D3D1B" w:rsidP="000767C4">
    <w:pPr>
      <w:pStyle w:val="Voettekst"/>
      <w:jc w:val="cen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BA" w:rsidRDefault="00B613BA">
      <w:r>
        <w:separator/>
      </w:r>
    </w:p>
  </w:footnote>
  <w:footnote w:type="continuationSeparator" w:id="0">
    <w:p w:rsidR="00B613BA" w:rsidRDefault="00B61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1B" w:rsidRPr="00027F0F" w:rsidRDefault="006D3D1B" w:rsidP="001B2BCB">
    <w:pPr>
      <w:pStyle w:val="Koptekst"/>
      <w:tabs>
        <w:tab w:val="clear" w:pos="4536"/>
        <w:tab w:val="clear" w:pos="9072"/>
        <w:tab w:val="left" w:pos="900"/>
      </w:tabs>
      <w:rPr>
        <w:sz w:val="22"/>
      </w:rPr>
    </w:pPr>
    <w:bookmarkStart w:id="6" w:name="_MacBuGuideStaticData_1507H"/>
    <w:r w:rsidRPr="00027F0F">
      <w:rPr>
        <w:rFonts w:asciiTheme="minorHAnsi" w:hAnsiTheme="minorHAnsi" w:cstheme="minorHAnsi"/>
        <w:b/>
        <w:sz w:val="24"/>
        <w:szCs w:val="24"/>
      </w:rPr>
      <w:drawing>
        <wp:anchor distT="0" distB="0" distL="114300" distR="114300" simplePos="0" relativeHeight="251659264" behindDoc="0" locked="0" layoutInCell="1" allowOverlap="1" wp14:anchorId="464D5B33" wp14:editId="5019AA13">
          <wp:simplePos x="0" y="0"/>
          <wp:positionH relativeFrom="page">
            <wp:posOffset>4963160</wp:posOffset>
          </wp:positionH>
          <wp:positionV relativeFrom="page">
            <wp:posOffset>368300</wp:posOffset>
          </wp:positionV>
          <wp:extent cx="2247900" cy="850900"/>
          <wp:effectExtent l="0" t="0" r="12700" b="1270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7F0F" w:rsidRPr="00027F0F">
      <w:rPr>
        <w:rFonts w:asciiTheme="minorHAnsi" w:hAnsiTheme="minorHAnsi" w:cstheme="minorHAnsi"/>
        <w:b/>
        <w:sz w:val="24"/>
        <w:szCs w:val="24"/>
      </w:rPr>
      <w:t xml:space="preserve">AB20230713 - 3e - </w:t>
    </w:r>
    <w:r w:rsidRPr="00027F0F">
      <w:rPr>
        <w:rFonts w:asciiTheme="minorHAnsi" w:hAnsiTheme="minorHAnsi" w:cstheme="minorHAnsi"/>
        <w:b/>
        <w:sz w:val="24"/>
        <w:szCs w:val="24"/>
      </w:rPr>
      <w:t xml:space="preserve"> </w:t>
    </w:r>
    <w:r w:rsidRPr="00027F0F">
      <w:rPr>
        <w:sz w:val="22"/>
      </w:rPr>
      <mc:AlternateContent>
        <mc:Choice Requires="wps">
          <w:drawing>
            <wp:anchor distT="0" distB="0" distL="114300" distR="114300" simplePos="0" relativeHeight="251657216" behindDoc="0" locked="0" layoutInCell="0" allowOverlap="1" wp14:anchorId="32768670" wp14:editId="08105361">
              <wp:simplePos x="0" y="0"/>
              <wp:positionH relativeFrom="page">
                <wp:posOffset>3823335</wp:posOffset>
              </wp:positionH>
              <wp:positionV relativeFrom="page">
                <wp:posOffset>345440</wp:posOffset>
              </wp:positionV>
              <wp:extent cx="0" cy="0"/>
              <wp:effectExtent l="13335" t="21590" r="15240" b="16510"/>
              <wp:wrapTopAndBottom/>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64CE7" id="Line 49"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05pt,27.2pt" to="301.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" o:allowincell="f" strokecolor="gray" strokeweight="2pt">
              <w10:wrap type="topAndBottom" anchorx="page" anchory="page"/>
            </v:line>
          </w:pict>
        </mc:Fallback>
      </mc:AlternateContent>
    </w:r>
  </w:p>
  <w:p w:rsidR="006D3D1B" w:rsidRDefault="004F2013">
    <w:pPr>
      <w:pStyle w:val="Koptekst"/>
    </w:pPr>
    <w:r>
      <w:rPr>
        <w:sz w:val="22"/>
      </w:rPr>
      <mc:AlternateContent>
        <mc:Choice Requires="wps">
          <w:drawing>
            <wp:anchor distT="0" distB="0" distL="114300" distR="114300" simplePos="0" relativeHeight="251661312" behindDoc="0" locked="0" layoutInCell="1" allowOverlap="1" wp14:anchorId="755B57CC" wp14:editId="1CCC859D">
              <wp:simplePos x="0" y="0"/>
              <wp:positionH relativeFrom="page">
                <wp:posOffset>900430</wp:posOffset>
              </wp:positionH>
              <wp:positionV relativeFrom="page">
                <wp:posOffset>732155</wp:posOffset>
              </wp:positionV>
              <wp:extent cx="2818130" cy="787400"/>
              <wp:effectExtent l="0" t="0" r="1270" b="0"/>
              <wp:wrapThrough wrapText="bothSides">
                <wp:wrapPolygon edited="0">
                  <wp:start x="0" y="0"/>
                  <wp:lineTo x="0" y="20903"/>
                  <wp:lineTo x="21415" y="20903"/>
                  <wp:lineTo x="21415" y="0"/>
                  <wp:lineTo x="0" y="0"/>
                </wp:wrapPolygon>
              </wp:wrapThrough>
              <wp:docPr id="5" name="Tekstvak 5"/>
              <wp:cNvGraphicFramePr/>
              <a:graphic xmlns:a="http://schemas.openxmlformats.org/drawingml/2006/main">
                <a:graphicData uri="http://schemas.microsoft.com/office/word/2010/wordprocessingShape">
                  <wps:wsp>
                    <wps:cNvSpPr txBox="1"/>
                    <wps:spPr>
                      <a:xfrm>
                        <a:off x="0" y="0"/>
                        <a:ext cx="2818130" cy="78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0767C4" w:rsidRPr="00D312F4" w:rsidRDefault="000767C4" w:rsidP="000767C4">
                          <w:pPr>
                            <w:pStyle w:val="Koptekst"/>
                            <w:rPr>
                              <w:color w:val="009FE3"/>
                            </w:rPr>
                          </w:pPr>
                          <w:r w:rsidRPr="00D312F4">
                            <w:rPr>
                              <w:rFonts w:ascii="Calibri" w:hAnsi="Calibri"/>
                              <w:b/>
                              <w:color w:val="009FE3"/>
                              <w:sz w:val="36"/>
                              <w:szCs w:val="36"/>
                            </w:rPr>
                            <w:t>AB-VOORSTEL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B57CC" id="_x0000_t202" coordsize="21600,21600" o:spt="202" path="m,l,21600r21600,l21600,xe">
              <v:stroke joinstyle="miter"/>
              <v:path gradientshapeok="t" o:connecttype="rect"/>
            </v:shapetype>
            <v:shape id="Tekstvak 5" o:spid="_x0000_s1026" type="#_x0000_t202" style="position:absolute;left:0;text-align:left;margin-left:70.9pt;margin-top:57.65pt;width:221.9pt;height: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" filled="f" stroked="f">
              <v:textbox inset="0,0,0,0">
                <w:txbxContent>
                  <w:p w:rsidR="000767C4" w:rsidRPr="00D312F4" w:rsidRDefault="000767C4" w:rsidP="000767C4">
                    <w:pPr>
                      <w:pStyle w:val="Koptekst"/>
                      <w:rPr>
                        <w:color w:val="009FE3"/>
                      </w:rPr>
                    </w:pPr>
                    <w:r w:rsidRPr="00D312F4">
                      <w:rPr>
                        <w:rFonts w:ascii="Calibri" w:hAnsi="Calibri"/>
                        <w:b/>
                        <w:color w:val="009FE3"/>
                        <w:sz w:val="36"/>
                        <w:szCs w:val="36"/>
                      </w:rPr>
                      <w:t>AB-VOORSTEL</w:t>
                    </w:r>
                  </w:p>
                </w:txbxContent>
              </v:textbox>
              <w10:wrap type="through" anchorx="page" anchory="page"/>
            </v:shape>
          </w:pict>
        </mc:Fallback>
      </mc:AlternateContent>
    </w:r>
  </w:p>
  <w:bookmarkEnd w:i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82399"/>
    <w:multiLevelType w:val="hybridMultilevel"/>
    <w:tmpl w:val="B210A2B4"/>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2243D6E"/>
    <w:multiLevelType w:val="hybridMultilevel"/>
    <w:tmpl w:val="E1BC64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E2D7A92"/>
    <w:multiLevelType w:val="hybridMultilevel"/>
    <w:tmpl w:val="D596899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0F42441"/>
    <w:multiLevelType w:val="hybridMultilevel"/>
    <w:tmpl w:val="1CFA169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6B2FB5"/>
    <w:multiLevelType w:val="hybridMultilevel"/>
    <w:tmpl w:val="221AC2D2"/>
    <w:lvl w:ilvl="0" w:tplc="AE36D07E">
      <w:start w:val="6"/>
      <w:numFmt w:val="bullet"/>
      <w:lvlText w:val="-"/>
      <w:lvlJc w:val="left"/>
      <w:pPr>
        <w:ind w:left="717" w:hanging="360"/>
      </w:pPr>
      <w:rPr>
        <w:rFonts w:ascii="Calibri" w:eastAsia="Times New Roman" w:hAnsi="Calibri" w:cs="Calibri"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5" w15:restartNumberingAfterBreak="0">
    <w:nsid w:val="44024BE5"/>
    <w:multiLevelType w:val="hybridMultilevel"/>
    <w:tmpl w:val="7E6EC3FA"/>
    <w:lvl w:ilvl="0" w:tplc="BA5A94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1F68FC"/>
    <w:multiLevelType w:val="multilevel"/>
    <w:tmpl w:val="4888E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A34984"/>
    <w:multiLevelType w:val="hybridMultilevel"/>
    <w:tmpl w:val="4710B228"/>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FEA680B"/>
    <w:multiLevelType w:val="hybridMultilevel"/>
    <w:tmpl w:val="9D2E738A"/>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0375BAB"/>
    <w:multiLevelType w:val="hybridMultilevel"/>
    <w:tmpl w:val="DA241B38"/>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6D006CE0"/>
    <w:multiLevelType w:val="hybridMultilevel"/>
    <w:tmpl w:val="4546EF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2D935BD"/>
    <w:multiLevelType w:val="multilevel"/>
    <w:tmpl w:val="482C3E28"/>
    <w:styleLink w:val="1ai"/>
    <w:lvl w:ilvl="0">
      <w:start w:val="1"/>
      <w:numFmt w:val="decimal"/>
      <w:lvlText w:val="%1"/>
      <w:lvlJc w:val="left"/>
      <w:pPr>
        <w:tabs>
          <w:tab w:val="num" w:pos="360"/>
        </w:tabs>
        <w:ind w:left="360" w:hanging="360"/>
      </w:pPr>
      <w:rPr>
        <w:rFonts w:ascii="Arial" w:hAnsi="Arial" w:hint="default"/>
        <w:color w:val="auto"/>
        <w:sz w:val="20"/>
      </w:rPr>
    </w:lvl>
    <w:lvl w:ilvl="1">
      <w:start w:val="1"/>
      <w:numFmt w:val="lowerLetter"/>
      <w:lvlText w:val="%2"/>
      <w:lvlJc w:val="left"/>
      <w:pPr>
        <w:tabs>
          <w:tab w:val="num" w:pos="720"/>
        </w:tabs>
        <w:ind w:left="720" w:hanging="360"/>
      </w:pPr>
      <w:rPr>
        <w:rFonts w:ascii="Arial" w:hAnsi="Arial" w:hint="default"/>
        <w:color w:val="auto"/>
        <w:sz w:val="20"/>
      </w:rPr>
    </w:lvl>
    <w:lvl w:ilvl="2">
      <w:start w:val="1"/>
      <w:numFmt w:val="upperRoman"/>
      <w:lvlText w:val="%3"/>
      <w:lvlJc w:val="left"/>
      <w:pPr>
        <w:tabs>
          <w:tab w:val="num" w:pos="1080"/>
        </w:tabs>
        <w:ind w:left="1080" w:hanging="360"/>
      </w:pPr>
      <w:rPr>
        <w:rFonts w:ascii="Arial" w:hAnsi="Arial" w:hint="default"/>
        <w:color w:val="auto"/>
        <w:sz w:val="20"/>
      </w:rPr>
    </w:lvl>
    <w:lvl w:ilvl="3">
      <w:start w:val="1"/>
      <w:numFmt w:val="lowerRoman"/>
      <w:lvlText w:val="%4"/>
      <w:lvlJc w:val="left"/>
      <w:pPr>
        <w:tabs>
          <w:tab w:val="num" w:pos="1440"/>
        </w:tabs>
        <w:ind w:left="1440" w:hanging="360"/>
      </w:pPr>
      <w:rPr>
        <w:rFonts w:ascii="Arial" w:hAnsi="Arial" w:hint="default"/>
        <w:color w:val="auto"/>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A0D17B0"/>
    <w:multiLevelType w:val="hybridMultilevel"/>
    <w:tmpl w:val="009A7992"/>
    <w:lvl w:ilvl="0" w:tplc="04130005">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0"/>
  </w:num>
  <w:num w:numId="4">
    <w:abstractNumId w:val="9"/>
  </w:num>
  <w:num w:numId="5">
    <w:abstractNumId w:val="3"/>
  </w:num>
  <w:num w:numId="6">
    <w:abstractNumId w:val="2"/>
  </w:num>
  <w:num w:numId="7">
    <w:abstractNumId w:val="7"/>
  </w:num>
  <w:num w:numId="8">
    <w:abstractNumId w:val="5"/>
  </w:num>
  <w:num w:numId="9">
    <w:abstractNumId w:val="1"/>
  </w:num>
  <w:num w:numId="10">
    <w:abstractNumId w:val="6"/>
  </w:num>
  <w:num w:numId="11">
    <w:abstractNumId w:val="4"/>
  </w:num>
  <w:num w:numId="12">
    <w:abstractNumId w:val="12"/>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78"/>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62580F"/>
    <w:rsid w:val="00027F0F"/>
    <w:rsid w:val="00036679"/>
    <w:rsid w:val="00046949"/>
    <w:rsid w:val="000767C4"/>
    <w:rsid w:val="00092FCC"/>
    <w:rsid w:val="000A01FC"/>
    <w:rsid w:val="000B0BBD"/>
    <w:rsid w:val="000B4C5F"/>
    <w:rsid w:val="000B538D"/>
    <w:rsid w:val="000D4E5E"/>
    <w:rsid w:val="000E3CF5"/>
    <w:rsid w:val="00134EFB"/>
    <w:rsid w:val="001429FB"/>
    <w:rsid w:val="00161555"/>
    <w:rsid w:val="00176966"/>
    <w:rsid w:val="00181066"/>
    <w:rsid w:val="00185C1F"/>
    <w:rsid w:val="00186BDD"/>
    <w:rsid w:val="0019277B"/>
    <w:rsid w:val="001A2CA6"/>
    <w:rsid w:val="001B2BCB"/>
    <w:rsid w:val="001D2E0E"/>
    <w:rsid w:val="001D5990"/>
    <w:rsid w:val="001D63D2"/>
    <w:rsid w:val="001E0BF5"/>
    <w:rsid w:val="001F1FB2"/>
    <w:rsid w:val="001F37FA"/>
    <w:rsid w:val="001F45C7"/>
    <w:rsid w:val="0020425F"/>
    <w:rsid w:val="00217999"/>
    <w:rsid w:val="00227AF2"/>
    <w:rsid w:val="0025796E"/>
    <w:rsid w:val="00262AD5"/>
    <w:rsid w:val="00271FF2"/>
    <w:rsid w:val="00273048"/>
    <w:rsid w:val="0028472F"/>
    <w:rsid w:val="00287248"/>
    <w:rsid w:val="002A02AF"/>
    <w:rsid w:val="002A4CA8"/>
    <w:rsid w:val="002B2BA3"/>
    <w:rsid w:val="002C5A4D"/>
    <w:rsid w:val="002F316D"/>
    <w:rsid w:val="002F57CC"/>
    <w:rsid w:val="00312A84"/>
    <w:rsid w:val="00323626"/>
    <w:rsid w:val="00327EED"/>
    <w:rsid w:val="003351F2"/>
    <w:rsid w:val="00346BBF"/>
    <w:rsid w:val="0035149E"/>
    <w:rsid w:val="0039222C"/>
    <w:rsid w:val="0039224B"/>
    <w:rsid w:val="003A0134"/>
    <w:rsid w:val="003A1F7F"/>
    <w:rsid w:val="003B6336"/>
    <w:rsid w:val="003B702C"/>
    <w:rsid w:val="003C1AE6"/>
    <w:rsid w:val="003C5606"/>
    <w:rsid w:val="003F736D"/>
    <w:rsid w:val="003F7A8E"/>
    <w:rsid w:val="00401BAD"/>
    <w:rsid w:val="00406204"/>
    <w:rsid w:val="00407A9E"/>
    <w:rsid w:val="00432E75"/>
    <w:rsid w:val="00433A47"/>
    <w:rsid w:val="00442C11"/>
    <w:rsid w:val="00451D3B"/>
    <w:rsid w:val="004540BC"/>
    <w:rsid w:val="00455228"/>
    <w:rsid w:val="00457276"/>
    <w:rsid w:val="00466558"/>
    <w:rsid w:val="00466EF7"/>
    <w:rsid w:val="00487566"/>
    <w:rsid w:val="004B0856"/>
    <w:rsid w:val="004C7301"/>
    <w:rsid w:val="004D6A53"/>
    <w:rsid w:val="004E1507"/>
    <w:rsid w:val="004E3AE8"/>
    <w:rsid w:val="004E590E"/>
    <w:rsid w:val="004F2013"/>
    <w:rsid w:val="004F5BE4"/>
    <w:rsid w:val="0051029D"/>
    <w:rsid w:val="0051283F"/>
    <w:rsid w:val="0051740A"/>
    <w:rsid w:val="00524E86"/>
    <w:rsid w:val="00557252"/>
    <w:rsid w:val="00570618"/>
    <w:rsid w:val="00592DA0"/>
    <w:rsid w:val="005A76E7"/>
    <w:rsid w:val="005D1273"/>
    <w:rsid w:val="005E7B5F"/>
    <w:rsid w:val="005F7AF2"/>
    <w:rsid w:val="00606ABE"/>
    <w:rsid w:val="00607E2F"/>
    <w:rsid w:val="0062580F"/>
    <w:rsid w:val="00660391"/>
    <w:rsid w:val="00670A82"/>
    <w:rsid w:val="0069576D"/>
    <w:rsid w:val="006B1DA3"/>
    <w:rsid w:val="006B41CB"/>
    <w:rsid w:val="006B54E4"/>
    <w:rsid w:val="006C1B10"/>
    <w:rsid w:val="006C1D84"/>
    <w:rsid w:val="006C6AC3"/>
    <w:rsid w:val="006D3D1B"/>
    <w:rsid w:val="006E75BE"/>
    <w:rsid w:val="006E7D3E"/>
    <w:rsid w:val="006F02E4"/>
    <w:rsid w:val="006F44E9"/>
    <w:rsid w:val="00705343"/>
    <w:rsid w:val="00711046"/>
    <w:rsid w:val="00711F74"/>
    <w:rsid w:val="00722806"/>
    <w:rsid w:val="00731DDC"/>
    <w:rsid w:val="00743AE3"/>
    <w:rsid w:val="0074681D"/>
    <w:rsid w:val="00757558"/>
    <w:rsid w:val="00761AB0"/>
    <w:rsid w:val="00764CB9"/>
    <w:rsid w:val="007C5F47"/>
    <w:rsid w:val="00802CD0"/>
    <w:rsid w:val="00824BE8"/>
    <w:rsid w:val="00832C6F"/>
    <w:rsid w:val="00834FDE"/>
    <w:rsid w:val="008544BD"/>
    <w:rsid w:val="00855F2C"/>
    <w:rsid w:val="00856F9F"/>
    <w:rsid w:val="00865801"/>
    <w:rsid w:val="008A3589"/>
    <w:rsid w:val="008B3381"/>
    <w:rsid w:val="008C548C"/>
    <w:rsid w:val="008D7F61"/>
    <w:rsid w:val="008E2FF9"/>
    <w:rsid w:val="008E3F88"/>
    <w:rsid w:val="008F2A2A"/>
    <w:rsid w:val="008F5666"/>
    <w:rsid w:val="00901044"/>
    <w:rsid w:val="00901DA5"/>
    <w:rsid w:val="00906E19"/>
    <w:rsid w:val="009117CE"/>
    <w:rsid w:val="00913DCC"/>
    <w:rsid w:val="00917CC7"/>
    <w:rsid w:val="00920DA1"/>
    <w:rsid w:val="00952044"/>
    <w:rsid w:val="00961530"/>
    <w:rsid w:val="009618F7"/>
    <w:rsid w:val="00965DBC"/>
    <w:rsid w:val="00966FE9"/>
    <w:rsid w:val="009730F3"/>
    <w:rsid w:val="00981E8C"/>
    <w:rsid w:val="00991CCC"/>
    <w:rsid w:val="00996290"/>
    <w:rsid w:val="009A53A4"/>
    <w:rsid w:val="009A6299"/>
    <w:rsid w:val="009B39F3"/>
    <w:rsid w:val="009C4770"/>
    <w:rsid w:val="009C7247"/>
    <w:rsid w:val="009D2B88"/>
    <w:rsid w:val="009D6985"/>
    <w:rsid w:val="009D78EB"/>
    <w:rsid w:val="009F7FFC"/>
    <w:rsid w:val="00A05651"/>
    <w:rsid w:val="00A22A49"/>
    <w:rsid w:val="00A26A85"/>
    <w:rsid w:val="00A3730F"/>
    <w:rsid w:val="00A41E61"/>
    <w:rsid w:val="00A44A28"/>
    <w:rsid w:val="00A63616"/>
    <w:rsid w:val="00A844EF"/>
    <w:rsid w:val="00A84CB6"/>
    <w:rsid w:val="00AC588B"/>
    <w:rsid w:val="00AC7815"/>
    <w:rsid w:val="00AD47E6"/>
    <w:rsid w:val="00AD547B"/>
    <w:rsid w:val="00AF596C"/>
    <w:rsid w:val="00B00BCB"/>
    <w:rsid w:val="00B05B4E"/>
    <w:rsid w:val="00B171CE"/>
    <w:rsid w:val="00B307D2"/>
    <w:rsid w:val="00B45B19"/>
    <w:rsid w:val="00B613BA"/>
    <w:rsid w:val="00B7429D"/>
    <w:rsid w:val="00B746EF"/>
    <w:rsid w:val="00B8098A"/>
    <w:rsid w:val="00B81838"/>
    <w:rsid w:val="00B8723F"/>
    <w:rsid w:val="00BC52A1"/>
    <w:rsid w:val="00BC568B"/>
    <w:rsid w:val="00BD2D69"/>
    <w:rsid w:val="00BF5931"/>
    <w:rsid w:val="00C04445"/>
    <w:rsid w:val="00C1036D"/>
    <w:rsid w:val="00C15140"/>
    <w:rsid w:val="00C162F1"/>
    <w:rsid w:val="00C22945"/>
    <w:rsid w:val="00C461C0"/>
    <w:rsid w:val="00C53153"/>
    <w:rsid w:val="00C802C5"/>
    <w:rsid w:val="00C82AEC"/>
    <w:rsid w:val="00C87629"/>
    <w:rsid w:val="00C952AA"/>
    <w:rsid w:val="00CA6E31"/>
    <w:rsid w:val="00CC114C"/>
    <w:rsid w:val="00CC68C9"/>
    <w:rsid w:val="00CE549C"/>
    <w:rsid w:val="00CE575D"/>
    <w:rsid w:val="00CF378E"/>
    <w:rsid w:val="00CF60EB"/>
    <w:rsid w:val="00CF6EFA"/>
    <w:rsid w:val="00D14B16"/>
    <w:rsid w:val="00D23355"/>
    <w:rsid w:val="00D30D12"/>
    <w:rsid w:val="00D312F4"/>
    <w:rsid w:val="00D31A88"/>
    <w:rsid w:val="00D34220"/>
    <w:rsid w:val="00D41B1A"/>
    <w:rsid w:val="00D6504C"/>
    <w:rsid w:val="00D778AD"/>
    <w:rsid w:val="00D8098B"/>
    <w:rsid w:val="00D861E8"/>
    <w:rsid w:val="00DA0613"/>
    <w:rsid w:val="00DC656F"/>
    <w:rsid w:val="00DC74E1"/>
    <w:rsid w:val="00DD4F4C"/>
    <w:rsid w:val="00DE09A2"/>
    <w:rsid w:val="00DE1B96"/>
    <w:rsid w:val="00DF6EEB"/>
    <w:rsid w:val="00E20822"/>
    <w:rsid w:val="00E25D76"/>
    <w:rsid w:val="00E47423"/>
    <w:rsid w:val="00E55C6B"/>
    <w:rsid w:val="00E601BD"/>
    <w:rsid w:val="00E6745A"/>
    <w:rsid w:val="00E75E54"/>
    <w:rsid w:val="00E85D60"/>
    <w:rsid w:val="00E86089"/>
    <w:rsid w:val="00E90981"/>
    <w:rsid w:val="00E94749"/>
    <w:rsid w:val="00E94E3A"/>
    <w:rsid w:val="00EA0155"/>
    <w:rsid w:val="00EA30C2"/>
    <w:rsid w:val="00EB428E"/>
    <w:rsid w:val="00EC31B3"/>
    <w:rsid w:val="00EC5C2A"/>
    <w:rsid w:val="00EC6BD6"/>
    <w:rsid w:val="00EE416C"/>
    <w:rsid w:val="00EE4915"/>
    <w:rsid w:val="00F102F3"/>
    <w:rsid w:val="00F10B74"/>
    <w:rsid w:val="00F23087"/>
    <w:rsid w:val="00F53F56"/>
    <w:rsid w:val="00F57027"/>
    <w:rsid w:val="00F64BC9"/>
    <w:rsid w:val="00F665A2"/>
    <w:rsid w:val="00F7420E"/>
    <w:rsid w:val="00F84EFB"/>
    <w:rsid w:val="00F8761F"/>
    <w:rsid w:val="00FB1B50"/>
    <w:rsid w:val="00FC4178"/>
    <w:rsid w:val="00FD1C38"/>
    <w:rsid w:val="00FE231E"/>
    <w:rsid w:val="00FF755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B164973C-3C13-4193-8DC6-458657AD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796E"/>
    <w:pPr>
      <w:spacing w:line="260" w:lineRule="atLeast"/>
      <w:jc w:val="both"/>
    </w:pPr>
    <w:rPr>
      <w:rFonts w:ascii="Arial" w:hAnsi="Arial"/>
      <w:szCs w:val="24"/>
    </w:rPr>
  </w:style>
  <w:style w:type="paragraph" w:styleId="Kop2">
    <w:name w:val="heading 2"/>
    <w:basedOn w:val="Standaard"/>
    <w:next w:val="Standaard"/>
    <w:qFormat/>
    <w:rsid w:val="001B2BCB"/>
    <w:pPr>
      <w:keepNext/>
      <w:tabs>
        <w:tab w:val="left" w:pos="567"/>
        <w:tab w:val="num" w:pos="792"/>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240" w:line="280" w:lineRule="atLeast"/>
      <w:jc w:val="left"/>
      <w:outlineLvl w:val="1"/>
    </w:pPr>
    <w:rPr>
      <w:b/>
      <w:sz w:val="24"/>
      <w:szCs w:val="20"/>
    </w:rPr>
  </w:style>
  <w:style w:type="paragraph" w:styleId="Kop3">
    <w:name w:val="heading 3"/>
    <w:basedOn w:val="Standaard"/>
    <w:next w:val="Standaard"/>
    <w:qFormat/>
    <w:rsid w:val="00996290"/>
    <w:pPr>
      <w:keepNext/>
      <w:spacing w:before="240" w:after="60"/>
      <w:outlineLvl w:val="2"/>
    </w:pPr>
    <w:rPr>
      <w:rFonts w:cs="Arial"/>
      <w:b/>
      <w:bCs/>
      <w:sz w:val="24"/>
      <w:szCs w:val="26"/>
    </w:rPr>
  </w:style>
  <w:style w:type="paragraph" w:styleId="Kop7">
    <w:name w:val="heading 7"/>
    <w:basedOn w:val="Standaard"/>
    <w:next w:val="Standaard"/>
    <w:qFormat/>
    <w:rsid w:val="001B2BC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outlineLvl w:val="6"/>
    </w:pPr>
    <w:rPr>
      <w:b/>
      <w:sz w:val="1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C5C2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96290"/>
    <w:pPr>
      <w:tabs>
        <w:tab w:val="center" w:pos="4536"/>
        <w:tab w:val="right" w:pos="9072"/>
      </w:tabs>
    </w:pPr>
    <w:rPr>
      <w:noProof/>
      <w:szCs w:val="20"/>
    </w:rPr>
  </w:style>
  <w:style w:type="numbering" w:styleId="1ai">
    <w:name w:val="Outline List 1"/>
    <w:basedOn w:val="Geenlijst"/>
    <w:rsid w:val="00966FE9"/>
    <w:pPr>
      <w:numPr>
        <w:numId w:val="1"/>
      </w:numPr>
    </w:pPr>
  </w:style>
  <w:style w:type="paragraph" w:customStyle="1" w:styleId="paragraafkop">
    <w:name w:val="paragraafkop"/>
    <w:basedOn w:val="Standaard"/>
    <w:next w:val="Standaard"/>
    <w:rsid w:val="00996290"/>
    <w:rPr>
      <w:b/>
      <w:szCs w:val="20"/>
    </w:rPr>
  </w:style>
  <w:style w:type="table" w:customStyle="1" w:styleId="Tabelrastertabel">
    <w:name w:val="Tabelraster tabel"/>
    <w:basedOn w:val="Standaardtabel"/>
    <w:rsid w:val="00996290"/>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opmaak">
    <w:name w:val="Tabelraster opmaak"/>
    <w:basedOn w:val="Tabelrastertabel"/>
    <w:rsid w:val="00996290"/>
    <w:tblPr>
      <w:tblCellMar>
        <w:left w:w="0" w:type="dxa"/>
        <w:right w:w="0" w:type="dxa"/>
      </w:tblCellMar>
    </w:tblPr>
  </w:style>
  <w:style w:type="paragraph" w:styleId="Voettekst">
    <w:name w:val="footer"/>
    <w:basedOn w:val="Standaard"/>
    <w:rsid w:val="00996290"/>
    <w:pPr>
      <w:tabs>
        <w:tab w:val="center" w:pos="4536"/>
        <w:tab w:val="right" w:pos="9072"/>
      </w:tabs>
    </w:pPr>
    <w:rPr>
      <w:szCs w:val="20"/>
    </w:rPr>
  </w:style>
  <w:style w:type="character" w:customStyle="1" w:styleId="refkop">
    <w:name w:val="refkop"/>
    <w:rsid w:val="001B2BCB"/>
    <w:rPr>
      <w:rFonts w:ascii="Arial" w:hAnsi="Arial"/>
      <w:sz w:val="16"/>
    </w:rPr>
  </w:style>
  <w:style w:type="paragraph" w:customStyle="1" w:styleId="commentaar">
    <w:name w:val="commentaar"/>
    <w:basedOn w:val="Standaard"/>
    <w:rsid w:val="001B2BC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pPr>
    <w:rPr>
      <w:i/>
      <w:szCs w:val="20"/>
    </w:rPr>
  </w:style>
  <w:style w:type="paragraph" w:customStyle="1" w:styleId="formuliernaam">
    <w:name w:val="formuliernaam"/>
    <w:basedOn w:val="Standaard"/>
    <w:rsid w:val="001B2BCB"/>
    <w:pPr>
      <w:spacing w:line="240" w:lineRule="auto"/>
      <w:jc w:val="left"/>
    </w:pPr>
    <w:rPr>
      <w:b/>
      <w:szCs w:val="20"/>
    </w:rPr>
  </w:style>
  <w:style w:type="character" w:styleId="Paginanummer">
    <w:name w:val="page number"/>
    <w:basedOn w:val="Standaardalinea-lettertype"/>
    <w:rsid w:val="001B2BCB"/>
  </w:style>
  <w:style w:type="paragraph" w:styleId="Ballontekst">
    <w:name w:val="Balloon Text"/>
    <w:basedOn w:val="Standaard"/>
    <w:link w:val="BallontekstChar"/>
    <w:rsid w:val="00C87629"/>
    <w:pPr>
      <w:spacing w:line="240" w:lineRule="auto"/>
    </w:pPr>
    <w:rPr>
      <w:rFonts w:ascii="Segoe UI" w:hAnsi="Segoe UI" w:cs="Segoe UI"/>
      <w:sz w:val="18"/>
      <w:szCs w:val="18"/>
    </w:rPr>
  </w:style>
  <w:style w:type="character" w:customStyle="1" w:styleId="BallontekstChar">
    <w:name w:val="Ballontekst Char"/>
    <w:link w:val="Ballontekst"/>
    <w:rsid w:val="00C87629"/>
    <w:rPr>
      <w:rFonts w:ascii="Segoe UI" w:hAnsi="Segoe UI" w:cs="Segoe UI"/>
      <w:sz w:val="18"/>
      <w:szCs w:val="18"/>
    </w:rPr>
  </w:style>
  <w:style w:type="paragraph" w:styleId="Lijstalinea">
    <w:name w:val="List Paragraph"/>
    <w:basedOn w:val="Standaard"/>
    <w:uiPriority w:val="34"/>
    <w:qFormat/>
    <w:rsid w:val="00B61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A1519-A5E3-460A-A0B1-36C9499F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4437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Onderwerp</vt:lpstr>
    </vt:vector>
  </TitlesOfParts>
  <Company>Gemeente Zaltbommel</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Onderwerp</dc:title>
  <dc:subject/>
  <dc:creator>Paul Gnodde</dc:creator>
  <cp:keywords/>
  <cp:lastModifiedBy>Petra Baars</cp:lastModifiedBy>
  <cp:revision>2</cp:revision>
  <cp:lastPrinted>2017-02-13T13:49:00Z</cp:lastPrinted>
  <dcterms:created xsi:type="dcterms:W3CDTF">2023-07-10T14:13:00Z</dcterms:created>
  <dcterms:modified xsi:type="dcterms:W3CDTF">2023-07-10T14:13:00Z</dcterms:modified>
</cp:coreProperties>
</file>