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4323"/>
        <w:gridCol w:w="2273"/>
        <w:gridCol w:w="3298"/>
      </w:tblGrid>
      <w:tr w:rsidR="001B2BCB" w:rsidRPr="00EA30C2" w:rsidTr="006D3D1B">
        <w:trPr>
          <w:cantSplit/>
          <w:trHeight w:hRule="exact" w:val="900"/>
        </w:trPr>
        <w:tc>
          <w:tcPr>
            <w:tcW w:w="9894" w:type="dxa"/>
            <w:gridSpan w:val="3"/>
          </w:tcPr>
          <w:p w:rsidR="001B2BCB" w:rsidRPr="00D312F4" w:rsidRDefault="008E2FF9" w:rsidP="007A307C">
            <w:pPr>
              <w:spacing w:line="240" w:lineRule="atLeast"/>
              <w:jc w:val="left"/>
              <w:rPr>
                <w:rStyle w:val="refkop"/>
                <w:rFonts w:ascii="Calibri" w:hAnsi="Calibri" w:cs="Arial"/>
                <w:b/>
                <w:color w:val="009FE3"/>
                <w:sz w:val="22"/>
                <w:szCs w:val="22"/>
              </w:rPr>
            </w:pPr>
            <w:bookmarkStart w:id="0" w:name="blwhaalonderwerp"/>
            <w:bookmarkStart w:id="1" w:name="_MacBuGuideStaticData_1420V"/>
            <w:r w:rsidRPr="00D312F4">
              <w:rPr>
                <w:rStyle w:val="refkop"/>
                <w:rFonts w:ascii="Calibri" w:hAnsi="Calibri" w:cs="Arial"/>
                <w:b/>
                <w:color w:val="009FE3"/>
                <w:sz w:val="22"/>
                <w:szCs w:val="22"/>
              </w:rPr>
              <w:t>ONDERWERP</w:t>
            </w:r>
            <w:r w:rsidR="00442C11" w:rsidRPr="00D312F4">
              <w:rPr>
                <w:rStyle w:val="refkop"/>
                <w:rFonts w:ascii="Calibri" w:hAnsi="Calibri" w:cs="Arial"/>
                <w:b/>
                <w:color w:val="009FE3"/>
                <w:sz w:val="22"/>
                <w:szCs w:val="22"/>
              </w:rPr>
              <w:t xml:space="preserve"> </w:t>
            </w:r>
            <w:bookmarkStart w:id="2" w:name="blwOnderwerp"/>
            <w:bookmarkEnd w:id="2"/>
          </w:p>
          <w:p w:rsidR="00CE575D" w:rsidRPr="00EA30C2" w:rsidRDefault="006E4638" w:rsidP="007A307C">
            <w:pPr>
              <w:spacing w:line="240" w:lineRule="atLeast"/>
              <w:jc w:val="left"/>
              <w:rPr>
                <w:rFonts w:ascii="Calibri" w:hAnsi="Calibri" w:cs="Arial"/>
                <w:sz w:val="22"/>
                <w:szCs w:val="22"/>
              </w:rPr>
            </w:pPr>
            <w:r>
              <w:rPr>
                <w:rFonts w:ascii="Calibri" w:hAnsi="Calibri" w:cs="Arial"/>
                <w:sz w:val="22"/>
                <w:szCs w:val="22"/>
              </w:rPr>
              <w:t>Meerjarenonderhoudsplanning en –begroting 2023-2042 Poppenbouwing 18</w:t>
            </w:r>
          </w:p>
        </w:tc>
      </w:tr>
      <w:tr w:rsidR="001B2BCB" w:rsidRPr="00EA30C2" w:rsidTr="006D3D1B">
        <w:trPr>
          <w:cantSplit/>
        </w:trPr>
        <w:tc>
          <w:tcPr>
            <w:tcW w:w="9894" w:type="dxa"/>
            <w:gridSpan w:val="3"/>
          </w:tcPr>
          <w:p w:rsidR="001B2BCB" w:rsidRPr="00EA30C2" w:rsidRDefault="001B2BCB" w:rsidP="007A307C">
            <w:pPr>
              <w:spacing w:line="240" w:lineRule="atLeast"/>
              <w:jc w:val="left"/>
              <w:rPr>
                <w:rFonts w:ascii="Calibri" w:hAnsi="Calibri" w:cs="Arial"/>
                <w:sz w:val="22"/>
                <w:szCs w:val="22"/>
              </w:rPr>
            </w:pPr>
          </w:p>
        </w:tc>
      </w:tr>
      <w:tr w:rsidR="001B2BCB" w:rsidRPr="00EA30C2" w:rsidTr="006D3D1B">
        <w:trPr>
          <w:cantSplit/>
          <w:trHeight w:hRule="exact" w:val="1660"/>
        </w:trPr>
        <w:tc>
          <w:tcPr>
            <w:tcW w:w="9894" w:type="dxa"/>
            <w:gridSpan w:val="3"/>
          </w:tcPr>
          <w:p w:rsidR="001B2BCB" w:rsidRPr="00D312F4" w:rsidRDefault="008E2FF9" w:rsidP="007A307C">
            <w:pPr>
              <w:spacing w:line="240" w:lineRule="atLeast"/>
              <w:jc w:val="left"/>
              <w:rPr>
                <w:rStyle w:val="refkop"/>
                <w:rFonts w:ascii="Calibri" w:hAnsi="Calibri"/>
                <w:b/>
                <w:color w:val="009FE3"/>
                <w:sz w:val="22"/>
                <w:szCs w:val="22"/>
              </w:rPr>
            </w:pPr>
            <w:r w:rsidRPr="00D312F4">
              <w:rPr>
                <w:rStyle w:val="refkop"/>
                <w:rFonts w:ascii="Calibri" w:hAnsi="Calibri"/>
                <w:b/>
                <w:color w:val="009FE3"/>
                <w:sz w:val="22"/>
                <w:szCs w:val="22"/>
              </w:rPr>
              <w:t>BESLISPUNTEN</w:t>
            </w:r>
          </w:p>
          <w:p w:rsidR="006E4638" w:rsidRDefault="009B68A7" w:rsidP="006E4638">
            <w:pPr>
              <w:numPr>
                <w:ilvl w:val="0"/>
                <w:numId w:val="2"/>
              </w:numPr>
              <w:spacing w:line="240" w:lineRule="atLeast"/>
              <w:jc w:val="left"/>
              <w:rPr>
                <w:rFonts w:ascii="Calibri" w:hAnsi="Calibri" w:cs="Arial"/>
                <w:sz w:val="22"/>
                <w:szCs w:val="22"/>
              </w:rPr>
            </w:pPr>
            <w:bookmarkStart w:id="3" w:name="blwsamengevat"/>
            <w:bookmarkEnd w:id="3"/>
            <w:r>
              <w:rPr>
                <w:rFonts w:ascii="Calibri" w:hAnsi="Calibri" w:cs="Arial"/>
                <w:sz w:val="22"/>
                <w:szCs w:val="22"/>
              </w:rPr>
              <w:t>Het g</w:t>
            </w:r>
            <w:r w:rsidR="006E4638">
              <w:rPr>
                <w:rFonts w:ascii="Calibri" w:hAnsi="Calibri" w:cs="Arial"/>
                <w:sz w:val="22"/>
                <w:szCs w:val="22"/>
              </w:rPr>
              <w:t>oedkeuren van de voorgelegde meerjarenonderhoudsplanning en -begroting voor de komende 5 jaar (de financiële consequenties zijn meegenomen in de bestuursrapportage 2023 en begroting 2024).</w:t>
            </w:r>
          </w:p>
          <w:p w:rsidR="006E4638" w:rsidRPr="00E917A8" w:rsidRDefault="006E4638" w:rsidP="006E4638">
            <w:pPr>
              <w:numPr>
                <w:ilvl w:val="0"/>
                <w:numId w:val="2"/>
              </w:numPr>
              <w:spacing w:line="240" w:lineRule="atLeast"/>
              <w:jc w:val="left"/>
              <w:rPr>
                <w:rFonts w:ascii="Calibri" w:hAnsi="Calibri" w:cs="Arial"/>
                <w:sz w:val="22"/>
                <w:szCs w:val="22"/>
              </w:rPr>
            </w:pPr>
            <w:r w:rsidRPr="00E917A8">
              <w:rPr>
                <w:rFonts w:ascii="Calibri" w:hAnsi="Calibri" w:cs="Arial"/>
                <w:sz w:val="22"/>
                <w:szCs w:val="22"/>
              </w:rPr>
              <w:t xml:space="preserve">In te stemmen met </w:t>
            </w:r>
            <w:r w:rsidR="00706CA4" w:rsidRPr="00E917A8">
              <w:rPr>
                <w:rFonts w:ascii="Calibri" w:hAnsi="Calibri" w:cs="Arial"/>
                <w:sz w:val="22"/>
                <w:szCs w:val="22"/>
              </w:rPr>
              <w:t xml:space="preserve">het vormen van een voorziening en </w:t>
            </w:r>
            <w:r w:rsidRPr="00E917A8">
              <w:rPr>
                <w:rFonts w:ascii="Calibri" w:hAnsi="Calibri" w:cs="Arial"/>
                <w:sz w:val="22"/>
                <w:szCs w:val="22"/>
              </w:rPr>
              <w:t>de vrijval van de reserve onderhoud (106.434 euro) bij de jaarrekening 2023.</w:t>
            </w:r>
          </w:p>
          <w:p w:rsidR="00406204" w:rsidRPr="00EA30C2" w:rsidRDefault="00406204" w:rsidP="006E4638">
            <w:pPr>
              <w:spacing w:line="240" w:lineRule="atLeast"/>
              <w:ind w:left="360"/>
              <w:jc w:val="left"/>
              <w:rPr>
                <w:rFonts w:ascii="Calibri" w:hAnsi="Calibri" w:cs="Arial"/>
                <w:sz w:val="22"/>
                <w:szCs w:val="22"/>
              </w:rPr>
            </w:pPr>
          </w:p>
          <w:p w:rsidR="00D34220" w:rsidRPr="00EA30C2" w:rsidRDefault="00D34220" w:rsidP="007A307C">
            <w:pPr>
              <w:spacing w:line="240" w:lineRule="atLeast"/>
              <w:jc w:val="left"/>
              <w:rPr>
                <w:rFonts w:ascii="Calibri" w:hAnsi="Calibri" w:cs="Arial"/>
                <w:sz w:val="22"/>
                <w:szCs w:val="22"/>
              </w:rPr>
            </w:pPr>
          </w:p>
        </w:tc>
      </w:tr>
      <w:tr w:rsidR="001B2BCB" w:rsidRPr="00EA30C2" w:rsidTr="006D3D1B">
        <w:trPr>
          <w:cantSplit/>
        </w:trPr>
        <w:tc>
          <w:tcPr>
            <w:tcW w:w="9894" w:type="dxa"/>
            <w:gridSpan w:val="3"/>
          </w:tcPr>
          <w:p w:rsidR="001B2BCB" w:rsidRPr="00EA30C2" w:rsidRDefault="00A22A49" w:rsidP="00CC68C9">
            <w:pPr>
              <w:spacing w:line="240" w:lineRule="atLeast"/>
              <w:rPr>
                <w:rFonts w:ascii="Calibri" w:hAnsi="Calibri" w:cs="Arial"/>
                <w:sz w:val="22"/>
                <w:szCs w:val="22"/>
              </w:rPr>
            </w:pPr>
            <w:r w:rsidRPr="00EA30C2">
              <w:rPr>
                <w:rFonts w:ascii="Calibri" w:hAnsi="Calibri" w:cs="Arial"/>
                <w:sz w:val="22"/>
                <w:szCs w:val="22"/>
              </w:rPr>
              <w:t xml:space="preserve"> </w:t>
            </w:r>
          </w:p>
        </w:tc>
      </w:tr>
      <w:bookmarkEnd w:id="0"/>
      <w:tr w:rsidR="0025796E" w:rsidRPr="00EA30C2" w:rsidTr="006D3D1B">
        <w:trPr>
          <w:cantSplit/>
          <w:trHeight w:hRule="exact" w:val="367"/>
        </w:trPr>
        <w:tc>
          <w:tcPr>
            <w:tcW w:w="432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Opgesteld door:</w:t>
            </w:r>
          </w:p>
        </w:tc>
        <w:tc>
          <w:tcPr>
            <w:tcW w:w="227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Datum:</w:t>
            </w:r>
          </w:p>
        </w:tc>
        <w:tc>
          <w:tcPr>
            <w:tcW w:w="3298"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 xml:space="preserve">Akkoord manager </w:t>
            </w:r>
          </w:p>
        </w:tc>
      </w:tr>
      <w:tr w:rsidR="0025796E" w:rsidRPr="00EA30C2" w:rsidTr="006D3D1B">
        <w:trPr>
          <w:cantSplit/>
          <w:trHeight w:hRule="exact" w:val="900"/>
        </w:trPr>
        <w:tc>
          <w:tcPr>
            <w:tcW w:w="4323" w:type="dxa"/>
          </w:tcPr>
          <w:p w:rsidR="0025796E" w:rsidRPr="00EA30C2" w:rsidRDefault="00ED05B3" w:rsidP="00A3730F">
            <w:pPr>
              <w:spacing w:line="240" w:lineRule="atLeast"/>
              <w:jc w:val="left"/>
              <w:rPr>
                <w:rFonts w:ascii="Calibri" w:hAnsi="Calibri" w:cs="Arial"/>
                <w:sz w:val="22"/>
                <w:szCs w:val="22"/>
              </w:rPr>
            </w:pPr>
            <w:r>
              <w:rPr>
                <w:rFonts w:ascii="Calibri" w:hAnsi="Calibri" w:cs="Arial"/>
                <w:sz w:val="22"/>
                <w:szCs w:val="22"/>
              </w:rPr>
              <w:t>Roeland Winter</w:t>
            </w:r>
          </w:p>
        </w:tc>
        <w:tc>
          <w:tcPr>
            <w:tcW w:w="2273" w:type="dxa"/>
          </w:tcPr>
          <w:p w:rsidR="0025796E" w:rsidRPr="00EA30C2" w:rsidRDefault="005F49F4" w:rsidP="00A3730F">
            <w:pPr>
              <w:spacing w:line="240" w:lineRule="atLeast"/>
              <w:jc w:val="left"/>
              <w:rPr>
                <w:rFonts w:ascii="Calibri" w:hAnsi="Calibri" w:cs="Arial"/>
                <w:sz w:val="22"/>
                <w:szCs w:val="22"/>
              </w:rPr>
            </w:pPr>
            <w:r>
              <w:rPr>
                <w:rFonts w:ascii="Calibri" w:hAnsi="Calibri" w:cs="Arial"/>
                <w:sz w:val="22"/>
                <w:szCs w:val="22"/>
              </w:rPr>
              <w:t>20-7</w:t>
            </w:r>
            <w:r w:rsidR="00ED05B3">
              <w:rPr>
                <w:rFonts w:ascii="Calibri" w:hAnsi="Calibri" w:cs="Arial"/>
                <w:sz w:val="22"/>
                <w:szCs w:val="22"/>
              </w:rPr>
              <w:t>-2023</w:t>
            </w:r>
          </w:p>
        </w:tc>
        <w:tc>
          <w:tcPr>
            <w:tcW w:w="3298" w:type="dxa"/>
          </w:tcPr>
          <w:p w:rsidR="0025796E" w:rsidRPr="00EA30C2" w:rsidRDefault="00ED05B3" w:rsidP="00A3730F">
            <w:pPr>
              <w:spacing w:line="240" w:lineRule="atLeast"/>
              <w:jc w:val="left"/>
              <w:rPr>
                <w:rFonts w:ascii="Calibri" w:hAnsi="Calibri" w:cs="Arial"/>
                <w:sz w:val="22"/>
                <w:szCs w:val="22"/>
              </w:rPr>
            </w:pPr>
            <w:r>
              <w:rPr>
                <w:rFonts w:ascii="Calibri" w:hAnsi="Calibri" w:cs="Arial"/>
                <w:sz w:val="22"/>
                <w:szCs w:val="22"/>
              </w:rPr>
              <w:t>Codrik van de Wetering</w:t>
            </w:r>
          </w:p>
        </w:tc>
      </w:tr>
      <w:tr w:rsidR="001B2BCB" w:rsidRPr="00EA30C2" w:rsidTr="006D3D1B">
        <w:trPr>
          <w:cantSplit/>
          <w:trHeight w:val="87"/>
        </w:trPr>
        <w:tc>
          <w:tcPr>
            <w:tcW w:w="9894" w:type="dxa"/>
            <w:gridSpan w:val="3"/>
          </w:tcPr>
          <w:p w:rsidR="001B2BCB" w:rsidRPr="00EA30C2" w:rsidRDefault="001B2BCB" w:rsidP="009C7247">
            <w:pPr>
              <w:rPr>
                <w:rFonts w:ascii="Calibri" w:hAnsi="Calibri" w:cs="Arial"/>
                <w:sz w:val="22"/>
                <w:szCs w:val="22"/>
              </w:rPr>
            </w:pPr>
            <w:r w:rsidRPr="00EA30C2">
              <w:rPr>
                <w:rFonts w:ascii="Calibri" w:hAnsi="Calibri" w:cs="Arial"/>
                <w:sz w:val="22"/>
                <w:szCs w:val="22"/>
              </w:rPr>
              <w:t xml:space="preserve">Vertrouwelijke </w:t>
            </w:r>
            <w:r w:rsidRPr="00D67029">
              <w:rPr>
                <w:rFonts w:ascii="Calibri" w:hAnsi="Calibri" w:cs="Arial"/>
                <w:sz w:val="22"/>
                <w:szCs w:val="22"/>
              </w:rPr>
              <w:t>behandeling</w:t>
            </w:r>
            <w:r w:rsidR="00D67029">
              <w:rPr>
                <w:rFonts w:ascii="Calibri" w:hAnsi="Calibri" w:cs="Arial"/>
                <w:sz w:val="22"/>
                <w:szCs w:val="22"/>
              </w:rPr>
              <w:t>:</w:t>
            </w:r>
            <w:r w:rsidRPr="00D67029">
              <w:rPr>
                <w:rFonts w:ascii="Calibri" w:hAnsi="Calibri" w:cs="Arial"/>
                <w:sz w:val="22"/>
                <w:szCs w:val="22"/>
              </w:rPr>
              <w:t xml:space="preserve"> </w:t>
            </w:r>
            <w:r w:rsidR="009C7247" w:rsidRPr="00D67029">
              <w:rPr>
                <w:rFonts w:ascii="Calibri" w:hAnsi="Calibri" w:cs="Arial"/>
                <w:sz w:val="22"/>
                <w:szCs w:val="22"/>
              </w:rPr>
              <w:t>nee</w:t>
            </w:r>
          </w:p>
          <w:p w:rsidR="00A22A49" w:rsidRPr="00EA30C2" w:rsidRDefault="00A22A49" w:rsidP="00185C1F">
            <w:pPr>
              <w:spacing w:line="200" w:lineRule="exact"/>
              <w:rPr>
                <w:rFonts w:ascii="Calibri" w:hAnsi="Calibri" w:cs="Arial"/>
                <w:b/>
                <w:sz w:val="22"/>
                <w:szCs w:val="22"/>
              </w:rPr>
            </w:pPr>
          </w:p>
        </w:tc>
      </w:tr>
    </w:tbl>
    <w:p w:rsidR="001B2BCB" w:rsidRPr="00EA30C2" w:rsidRDefault="001B2BCB" w:rsidP="00CC68C9">
      <w:pPr>
        <w:spacing w:line="240" w:lineRule="atLeast"/>
        <w:rPr>
          <w:rFonts w:ascii="Calibri" w:hAnsi="Calibri" w:cs="Arial"/>
          <w:sz w:val="22"/>
          <w:szCs w:val="22"/>
        </w:rPr>
      </w:pPr>
    </w:p>
    <w:p w:rsidR="001B2BCB" w:rsidRPr="00EA30C2" w:rsidRDefault="001B2BCB" w:rsidP="00CC68C9">
      <w:pPr>
        <w:spacing w:line="240" w:lineRule="atLeast"/>
        <w:rPr>
          <w:rFonts w:ascii="Calibri" w:hAnsi="Calibri" w:cs="Arial"/>
          <w:sz w:val="22"/>
          <w:szCs w:val="22"/>
        </w:rPr>
      </w:pPr>
    </w:p>
    <w:tbl>
      <w:tblPr>
        <w:tblW w:w="9898" w:type="dxa"/>
        <w:tblInd w:w="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299"/>
        <w:gridCol w:w="3299"/>
        <w:gridCol w:w="3300"/>
      </w:tblGrid>
      <w:tr w:rsidR="00432E75" w:rsidRPr="00EA30C2" w:rsidTr="006D3D1B">
        <w:tc>
          <w:tcPr>
            <w:tcW w:w="9898" w:type="dxa"/>
            <w:gridSpan w:val="3"/>
            <w:shd w:val="clear" w:color="auto" w:fill="auto"/>
          </w:tcPr>
          <w:p w:rsidR="00432E75" w:rsidRPr="00EA30C2" w:rsidRDefault="00432E75" w:rsidP="006B1DA3">
            <w:pPr>
              <w:spacing w:line="200" w:lineRule="exact"/>
              <w:rPr>
                <w:rStyle w:val="refkop"/>
                <w:rFonts w:ascii="Calibri" w:hAnsi="Calibri" w:cs="Arial"/>
                <w:sz w:val="22"/>
                <w:szCs w:val="22"/>
              </w:rPr>
            </w:pPr>
            <w:r w:rsidRPr="00EA30C2">
              <w:rPr>
                <w:rStyle w:val="refkop"/>
                <w:rFonts w:ascii="Calibri" w:hAnsi="Calibri" w:cs="Arial"/>
                <w:sz w:val="22"/>
                <w:szCs w:val="22"/>
              </w:rPr>
              <w:t xml:space="preserve">Overleg gepleegd met: </w:t>
            </w:r>
          </w:p>
          <w:p w:rsidR="00A22A49" w:rsidRPr="00EA30C2" w:rsidRDefault="00A22A49" w:rsidP="006B1DA3">
            <w:pPr>
              <w:spacing w:line="200" w:lineRule="exact"/>
              <w:rPr>
                <w:rStyle w:val="refkop"/>
                <w:rFonts w:ascii="Calibri" w:hAnsi="Calibri" w:cs="Arial"/>
                <w:sz w:val="22"/>
                <w:szCs w:val="22"/>
              </w:rPr>
            </w:pPr>
          </w:p>
        </w:tc>
        <w:bookmarkStart w:id="4" w:name="_GoBack"/>
        <w:bookmarkEnd w:id="4"/>
      </w:tr>
      <w:tr w:rsidR="00C87629" w:rsidRPr="00EA30C2" w:rsidTr="006D3D1B">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Ondernemingsraad</w:t>
            </w:r>
          </w:p>
          <w:p w:rsidR="00C87629" w:rsidRPr="00EA30C2" w:rsidRDefault="00C87629" w:rsidP="006B1DA3">
            <w:pPr>
              <w:spacing w:line="200" w:lineRule="exact"/>
              <w:rPr>
                <w:rStyle w:val="refkop"/>
                <w:rFonts w:ascii="Calibri" w:hAnsi="Calibri" w:cs="Arial"/>
                <w:sz w:val="22"/>
                <w:szCs w:val="22"/>
              </w:rPr>
            </w:pPr>
          </w:p>
        </w:tc>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 xml:space="preserve">Cliëntenraad </w:t>
            </w:r>
          </w:p>
          <w:p w:rsidR="00C87629" w:rsidRPr="00EA30C2" w:rsidRDefault="00C87629" w:rsidP="006B1DA3">
            <w:pPr>
              <w:spacing w:line="200" w:lineRule="exact"/>
              <w:rPr>
                <w:rStyle w:val="refkop"/>
                <w:rFonts w:ascii="Calibri" w:hAnsi="Calibri" w:cs="Arial"/>
                <w:sz w:val="22"/>
                <w:szCs w:val="22"/>
              </w:rPr>
            </w:pPr>
          </w:p>
        </w:tc>
        <w:tc>
          <w:tcPr>
            <w:tcW w:w="3300" w:type="dxa"/>
            <w:shd w:val="clear" w:color="auto" w:fill="auto"/>
          </w:tcPr>
          <w:p w:rsidR="00C87629" w:rsidRPr="00EA30C2" w:rsidRDefault="00C87629" w:rsidP="006B1DA3">
            <w:pPr>
              <w:spacing w:line="200" w:lineRule="exact"/>
              <w:rPr>
                <w:rStyle w:val="refkop"/>
                <w:rFonts w:ascii="Calibri" w:hAnsi="Calibri" w:cs="Arial"/>
                <w:sz w:val="22"/>
                <w:szCs w:val="22"/>
              </w:rPr>
            </w:pPr>
          </w:p>
        </w:tc>
      </w:tr>
    </w:tbl>
    <w:p w:rsidR="00A22A49" w:rsidRPr="00EA30C2" w:rsidRDefault="00A22A49" w:rsidP="00CC68C9">
      <w:pPr>
        <w:pStyle w:val="Koptekst"/>
        <w:tabs>
          <w:tab w:val="clear" w:pos="9072"/>
          <w:tab w:val="left" w:pos="4536"/>
        </w:tabs>
        <w:spacing w:line="240" w:lineRule="atLeast"/>
        <w:rPr>
          <w:rFonts w:ascii="Calibri" w:hAnsi="Calibri" w:cs="Arial"/>
          <w:sz w:val="22"/>
          <w:szCs w:val="22"/>
        </w:rPr>
      </w:pPr>
    </w:p>
    <w:p w:rsidR="00F7420E" w:rsidRPr="00EA30C2" w:rsidRDefault="00F7420E" w:rsidP="00CC68C9">
      <w:pPr>
        <w:pStyle w:val="Koptekst"/>
        <w:tabs>
          <w:tab w:val="clear" w:pos="9072"/>
          <w:tab w:val="left" w:pos="4536"/>
        </w:tabs>
        <w:spacing w:line="240" w:lineRule="atLeast"/>
        <w:rPr>
          <w:rFonts w:ascii="Calibri" w:hAnsi="Calibri" w:cs="Arial"/>
          <w:sz w:val="22"/>
          <w:szCs w:val="22"/>
        </w:rPr>
      </w:pPr>
    </w:p>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94"/>
      </w:tblGrid>
      <w:tr w:rsidR="00A22A49" w:rsidRPr="00186BDD" w:rsidTr="006D3D1B">
        <w:trPr>
          <w:cantSplit/>
          <w:trHeight w:val="1261"/>
        </w:trPr>
        <w:tc>
          <w:tcPr>
            <w:tcW w:w="9894" w:type="dxa"/>
          </w:tcPr>
          <w:p w:rsidR="00A22A49" w:rsidRPr="00EA30C2" w:rsidRDefault="00A22A49" w:rsidP="006F1DA1">
            <w:pPr>
              <w:spacing w:line="200" w:lineRule="exact"/>
              <w:jc w:val="left"/>
              <w:rPr>
                <w:rFonts w:ascii="Calibri" w:hAnsi="Calibri" w:cs="Arial"/>
                <w:sz w:val="22"/>
                <w:szCs w:val="22"/>
              </w:rPr>
            </w:pPr>
          </w:p>
          <w:p w:rsidR="00F8761F" w:rsidRPr="00CC41E2" w:rsidRDefault="00F8761F" w:rsidP="006F1DA1">
            <w:pPr>
              <w:jc w:val="left"/>
              <w:rPr>
                <w:rFonts w:ascii="Calibri" w:hAnsi="Calibri"/>
                <w:sz w:val="22"/>
              </w:rPr>
            </w:pPr>
            <w:r w:rsidRPr="00CC41E2">
              <w:rPr>
                <w:rFonts w:ascii="Calibri" w:hAnsi="Calibri"/>
                <w:sz w:val="22"/>
              </w:rPr>
              <w:t xml:space="preserve">Aldus besloten in de openbare vergadering van het algemeen bestuur van </w:t>
            </w:r>
            <w:r w:rsidR="00F11174" w:rsidRPr="00CC41E2">
              <w:rPr>
                <w:rFonts w:ascii="Calibri" w:hAnsi="Calibri"/>
                <w:sz w:val="22"/>
              </w:rPr>
              <w:t>26 oktober 2023</w:t>
            </w:r>
          </w:p>
          <w:p w:rsidR="00F8761F" w:rsidRPr="00CC41E2" w:rsidRDefault="00F8761F" w:rsidP="006F1DA1">
            <w:pPr>
              <w:jc w:val="left"/>
              <w:rPr>
                <w:rFonts w:ascii="Calibri" w:hAnsi="Calibri"/>
                <w:sz w:val="22"/>
              </w:rPr>
            </w:pPr>
          </w:p>
          <w:p w:rsidR="00F8761F" w:rsidRPr="00CC41E2" w:rsidRDefault="00F8761F" w:rsidP="006F1DA1">
            <w:pPr>
              <w:jc w:val="left"/>
              <w:rPr>
                <w:rFonts w:ascii="Calibri" w:hAnsi="Calibri"/>
                <w:sz w:val="22"/>
              </w:rPr>
            </w:pPr>
            <w:r w:rsidRPr="00CC41E2">
              <w:rPr>
                <w:rFonts w:ascii="Calibri" w:hAnsi="Calibri"/>
                <w:sz w:val="22"/>
              </w:rPr>
              <w:t>Het algemeen bestuur voornoemd,</w:t>
            </w:r>
          </w:p>
          <w:p w:rsidR="00F8761F" w:rsidRPr="00CC41E2" w:rsidRDefault="00F8761F" w:rsidP="006F1DA1">
            <w:pPr>
              <w:jc w:val="left"/>
              <w:rPr>
                <w:rFonts w:ascii="Calibri" w:hAnsi="Calibri"/>
                <w:sz w:val="22"/>
              </w:rPr>
            </w:pPr>
            <w:r w:rsidRPr="00CC41E2">
              <w:rPr>
                <w:rFonts w:ascii="Calibri" w:hAnsi="Calibri"/>
                <w:sz w:val="22"/>
              </w:rPr>
              <w:t>de secretaris,</w:t>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t>de voorzitter,</w:t>
            </w:r>
          </w:p>
          <w:p w:rsidR="00F8761F" w:rsidRPr="00CC41E2" w:rsidRDefault="00F8761F" w:rsidP="006F1DA1">
            <w:pPr>
              <w:jc w:val="left"/>
              <w:rPr>
                <w:rFonts w:ascii="Calibri" w:hAnsi="Calibri"/>
                <w:b/>
                <w:sz w:val="22"/>
              </w:rPr>
            </w:pPr>
          </w:p>
          <w:p w:rsidR="00F8761F" w:rsidRPr="00CC41E2" w:rsidRDefault="00F8761F" w:rsidP="006F1DA1">
            <w:pPr>
              <w:jc w:val="left"/>
              <w:rPr>
                <w:rFonts w:ascii="Calibri" w:hAnsi="Calibri"/>
                <w:b/>
                <w:sz w:val="22"/>
              </w:rPr>
            </w:pPr>
          </w:p>
          <w:p w:rsidR="00F8761F" w:rsidRPr="00CC41E2" w:rsidRDefault="00F8761F" w:rsidP="006F1DA1">
            <w:pPr>
              <w:jc w:val="left"/>
              <w:rPr>
                <w:rFonts w:ascii="Calibri" w:hAnsi="Calibri"/>
                <w:b/>
                <w:sz w:val="22"/>
              </w:rPr>
            </w:pPr>
          </w:p>
          <w:p w:rsidR="00F8761F" w:rsidRPr="00CC41E2" w:rsidRDefault="00F8761F" w:rsidP="006F1DA1">
            <w:pPr>
              <w:jc w:val="left"/>
              <w:rPr>
                <w:rFonts w:ascii="Calibri" w:hAnsi="Calibri"/>
                <w:sz w:val="22"/>
              </w:rPr>
            </w:pPr>
            <w:r w:rsidRPr="00CC41E2">
              <w:rPr>
                <w:rFonts w:ascii="Calibri" w:hAnsi="Calibri"/>
                <w:sz w:val="22"/>
              </w:rPr>
              <w:t>mevrouw E. Boer MBA</w:t>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Pr="00CC41E2">
              <w:rPr>
                <w:rFonts w:ascii="Calibri" w:hAnsi="Calibri"/>
                <w:sz w:val="22"/>
              </w:rPr>
              <w:tab/>
            </w:r>
            <w:r w:rsidR="00C162F1" w:rsidRPr="00CC41E2">
              <w:rPr>
                <w:rFonts w:ascii="Calibri" w:hAnsi="Calibri"/>
                <w:sz w:val="22"/>
              </w:rPr>
              <w:t>mevrouw drs. J.H.A. Sørensen</w:t>
            </w:r>
          </w:p>
          <w:p w:rsidR="00F8761F" w:rsidRDefault="00F8761F" w:rsidP="006F1DA1">
            <w:pPr>
              <w:spacing w:line="240" w:lineRule="atLeast"/>
              <w:jc w:val="left"/>
              <w:rPr>
                <w:rStyle w:val="refkop"/>
                <w:rFonts w:ascii="Calibri" w:hAnsi="Calibri" w:cs="Arial"/>
                <w:b/>
                <w:sz w:val="22"/>
                <w:szCs w:val="22"/>
              </w:rPr>
            </w:pPr>
          </w:p>
          <w:p w:rsidR="00F11174" w:rsidRPr="00186BDD" w:rsidRDefault="00F11174" w:rsidP="006F1DA1">
            <w:pPr>
              <w:spacing w:line="240" w:lineRule="atLeast"/>
              <w:jc w:val="left"/>
              <w:rPr>
                <w:rStyle w:val="refkop"/>
                <w:rFonts w:ascii="Calibri" w:hAnsi="Calibri" w:cs="Arial"/>
                <w:b/>
                <w:sz w:val="22"/>
                <w:szCs w:val="22"/>
              </w:rPr>
            </w:pPr>
          </w:p>
          <w:p w:rsidR="00A22A49" w:rsidRPr="00186BDD" w:rsidRDefault="00A22A49" w:rsidP="00185C1F">
            <w:pPr>
              <w:pStyle w:val="Koptekst"/>
              <w:tabs>
                <w:tab w:val="clear" w:pos="9072"/>
                <w:tab w:val="left" w:pos="4536"/>
              </w:tabs>
              <w:spacing w:line="200" w:lineRule="exact"/>
              <w:rPr>
                <w:rFonts w:ascii="Calibri" w:hAnsi="Calibri" w:cs="Arial"/>
                <w:sz w:val="22"/>
                <w:szCs w:val="22"/>
              </w:rPr>
            </w:pPr>
          </w:p>
        </w:tc>
      </w:tr>
    </w:tbl>
    <w:p w:rsidR="001B2BCB" w:rsidRPr="00186BDD" w:rsidRDefault="001B2BCB" w:rsidP="00CC68C9">
      <w:pPr>
        <w:spacing w:line="240" w:lineRule="atLeast"/>
        <w:rPr>
          <w:rFonts w:ascii="Calibri" w:hAnsi="Calibri" w:cs="Arial"/>
          <w:sz w:val="22"/>
          <w:szCs w:val="22"/>
        </w:rPr>
      </w:pPr>
      <w:r w:rsidRPr="00186BDD">
        <w:rPr>
          <w:rFonts w:ascii="Calibri" w:hAnsi="Calibri"/>
          <w:sz w:val="22"/>
          <w:szCs w:val="22"/>
        </w:rPr>
        <w:br w:type="page"/>
      </w:r>
      <w:bookmarkEnd w:id="1"/>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CellMar>
          <w:top w:w="68" w:type="dxa"/>
          <w:left w:w="70" w:type="dxa"/>
          <w:right w:w="70" w:type="dxa"/>
        </w:tblCellMar>
        <w:tblLook w:val="0000" w:firstRow="0" w:lastRow="0" w:firstColumn="0" w:lastColumn="0" w:noHBand="0" w:noVBand="0"/>
      </w:tblPr>
      <w:tblGrid>
        <w:gridCol w:w="9778"/>
      </w:tblGrid>
      <w:tr w:rsidR="001B2BCB" w:rsidRPr="00186BDD" w:rsidTr="00D312F4">
        <w:trPr>
          <w:trHeight w:hRule="exact" w:val="900"/>
        </w:trPr>
        <w:tc>
          <w:tcPr>
            <w:tcW w:w="9778" w:type="dxa"/>
          </w:tcPr>
          <w:p w:rsidR="00CE575D" w:rsidRPr="00186BDD" w:rsidRDefault="001B2BCB" w:rsidP="006F1DA1">
            <w:pPr>
              <w:spacing w:line="240" w:lineRule="atLeast"/>
              <w:jc w:val="left"/>
              <w:rPr>
                <w:rFonts w:ascii="Calibri" w:hAnsi="Calibri" w:cs="Arial"/>
                <w:b/>
                <w:color w:val="009FE3"/>
                <w:sz w:val="22"/>
                <w:szCs w:val="22"/>
              </w:rPr>
            </w:pPr>
            <w:r w:rsidRPr="00186BDD">
              <w:rPr>
                <w:rFonts w:ascii="Calibri" w:hAnsi="Calibri" w:cs="Arial"/>
                <w:color w:val="009FE3"/>
                <w:sz w:val="22"/>
                <w:szCs w:val="22"/>
              </w:rPr>
              <w:lastRenderedPageBreak/>
              <w:br w:type="page"/>
            </w:r>
            <w:r w:rsidR="008E2FF9" w:rsidRPr="00186BDD">
              <w:rPr>
                <w:rFonts w:ascii="Calibri" w:hAnsi="Calibri" w:cs="Arial"/>
                <w:b/>
                <w:color w:val="009FE3"/>
                <w:sz w:val="22"/>
                <w:szCs w:val="22"/>
              </w:rPr>
              <w:t xml:space="preserve">ONDERWERP </w:t>
            </w:r>
            <w:bookmarkStart w:id="5" w:name="blwOnderwerpKopie1"/>
            <w:bookmarkEnd w:id="5"/>
          </w:p>
          <w:p w:rsidR="006E4638" w:rsidRPr="007D7AAE" w:rsidRDefault="006E4638" w:rsidP="006E4638">
            <w:pPr>
              <w:spacing w:line="240" w:lineRule="atLeast"/>
              <w:rPr>
                <w:rFonts w:ascii="Calibri" w:hAnsi="Calibri"/>
                <w:sz w:val="22"/>
                <w:szCs w:val="22"/>
              </w:rPr>
            </w:pPr>
            <w:r>
              <w:rPr>
                <w:rFonts w:ascii="Calibri" w:hAnsi="Calibri" w:cs="Arial"/>
                <w:sz w:val="22"/>
                <w:szCs w:val="22"/>
              </w:rPr>
              <w:t>Meerjarenonderhoudsplanning en -begroting 2023-2042 Poppenbouwing 18</w:t>
            </w:r>
          </w:p>
          <w:p w:rsidR="00D46301" w:rsidRPr="007D7AAE" w:rsidRDefault="00D46301" w:rsidP="006F1DA1">
            <w:pPr>
              <w:spacing w:line="240" w:lineRule="atLeast"/>
              <w:jc w:val="left"/>
              <w:rPr>
                <w:rFonts w:ascii="Calibri" w:hAnsi="Calibri"/>
                <w:sz w:val="22"/>
                <w:szCs w:val="22"/>
              </w:rPr>
            </w:pPr>
          </w:p>
          <w:p w:rsidR="00406204" w:rsidRPr="00186BDD" w:rsidRDefault="00406204" w:rsidP="00406204">
            <w:pPr>
              <w:spacing w:line="240" w:lineRule="atLeast"/>
              <w:jc w:val="left"/>
              <w:rPr>
                <w:rFonts w:ascii="Calibri" w:hAnsi="Calibri" w:cs="Arial"/>
                <w:b/>
                <w:sz w:val="22"/>
                <w:szCs w:val="22"/>
              </w:rPr>
            </w:pPr>
          </w:p>
        </w:tc>
      </w:tr>
    </w:tbl>
    <w:p w:rsidR="001B2BCB" w:rsidRPr="00186BDD" w:rsidRDefault="001B2BCB" w:rsidP="006F1DA1">
      <w:pPr>
        <w:spacing w:line="240" w:lineRule="atLeast"/>
        <w:jc w:val="left"/>
        <w:rPr>
          <w:rFonts w:ascii="Calibri" w:hAnsi="Calibri" w:cs="Arial"/>
          <w:sz w:val="22"/>
          <w:szCs w:val="22"/>
        </w:rPr>
      </w:pPr>
    </w:p>
    <w:p w:rsidR="00D34220" w:rsidRPr="00186BDD" w:rsidRDefault="008544BD" w:rsidP="006F1DA1">
      <w:pPr>
        <w:spacing w:line="240" w:lineRule="atLeast"/>
        <w:jc w:val="left"/>
        <w:rPr>
          <w:rFonts w:ascii="Calibri" w:hAnsi="Calibri" w:cs="Arial"/>
          <w:color w:val="009FE3"/>
          <w:sz w:val="22"/>
          <w:szCs w:val="22"/>
        </w:rPr>
      </w:pPr>
      <w:r w:rsidRPr="00186BDD">
        <w:rPr>
          <w:rFonts w:ascii="Calibri" w:hAnsi="Calibri" w:cs="Arial"/>
          <w:b/>
          <w:color w:val="009FE3"/>
          <w:sz w:val="22"/>
          <w:szCs w:val="22"/>
        </w:rPr>
        <w:t>Inleiding</w:t>
      </w:r>
      <w:r w:rsidR="00442C11" w:rsidRPr="00186BDD">
        <w:rPr>
          <w:rFonts w:ascii="Calibri" w:hAnsi="Calibri" w:cs="Arial"/>
          <w:b/>
          <w:color w:val="009FE3"/>
          <w:sz w:val="22"/>
          <w:szCs w:val="22"/>
        </w:rPr>
        <w:t xml:space="preserve"> </w:t>
      </w:r>
    </w:p>
    <w:p w:rsidR="00706CA4" w:rsidRPr="003504AB" w:rsidRDefault="00706CA4" w:rsidP="00706CA4">
      <w:pPr>
        <w:jc w:val="left"/>
        <w:rPr>
          <w:rFonts w:asciiTheme="minorHAnsi" w:hAnsiTheme="minorHAnsi" w:cstheme="minorHAnsi"/>
          <w:sz w:val="22"/>
          <w:szCs w:val="22"/>
        </w:rPr>
      </w:pPr>
      <w:r w:rsidRPr="001F52BE">
        <w:rPr>
          <w:rFonts w:asciiTheme="minorHAnsi" w:hAnsiTheme="minorHAnsi" w:cstheme="minorHAnsi"/>
          <w:sz w:val="22"/>
          <w:szCs w:val="22"/>
        </w:rPr>
        <w:t>De meerjare</w:t>
      </w:r>
      <w:r>
        <w:rPr>
          <w:rFonts w:asciiTheme="minorHAnsi" w:hAnsiTheme="minorHAnsi" w:cstheme="minorHAnsi"/>
          <w:sz w:val="22"/>
          <w:szCs w:val="22"/>
        </w:rPr>
        <w:t xml:space="preserve">nonderhoudsplanning en –begroting van de Poppenbouwing 18 Geldermalsen is geactualiseerd. Het betreft een planning waarin het verwachte onderhoud voor de komende 20 jaar is opgenomen voor het huidige pand. Op basis hiervan is ook een meerjarenbegroting gemaakt. Voor zowel het vormen van een voorziening als het vaststellen van de meerjarenonderhoudsplanning en -begroting is goedkeuring nodig van het Algemeen Bestuur. </w:t>
      </w:r>
      <w:r w:rsidRPr="00F7124B">
        <w:rPr>
          <w:rFonts w:asciiTheme="minorHAnsi" w:hAnsiTheme="minorHAnsi" w:cstheme="minorHAnsi"/>
          <w:sz w:val="22"/>
          <w:szCs w:val="22"/>
        </w:rPr>
        <w:t>De meerjarenonderhoudsplanning en –begroting is gemaakt voor de komende 20 jaar maar moet worden bijgesteld iedere vijf jaar. Dit is de reden dat wij u nu laten besluiten over de eerste vijf jaar. Over vijf jaar ontvangt u een bijgestelde planning. Voorheen hadden we een onderhoudsreserve. Naar aanleiding van opmerkingen van de accountant en provincie willen we dit omzetten naar een voorziening.</w:t>
      </w:r>
    </w:p>
    <w:p w:rsidR="006E4638" w:rsidRPr="00186BDD" w:rsidRDefault="006E4638" w:rsidP="006F1DA1">
      <w:pPr>
        <w:pStyle w:val="Koptekst"/>
        <w:tabs>
          <w:tab w:val="clear" w:pos="9072"/>
          <w:tab w:val="left" w:pos="4536"/>
        </w:tabs>
        <w:spacing w:line="240" w:lineRule="atLeast"/>
        <w:jc w:val="left"/>
        <w:rPr>
          <w:rFonts w:ascii="Calibri" w:hAnsi="Calibri" w:cs="Arial"/>
          <w:sz w:val="22"/>
          <w:szCs w:val="22"/>
        </w:rPr>
      </w:pPr>
    </w:p>
    <w:p w:rsidR="005F7AF2" w:rsidRPr="00186BDD" w:rsidRDefault="005F7AF2" w:rsidP="006F1DA1">
      <w:pPr>
        <w:pStyle w:val="Koptekst"/>
        <w:tabs>
          <w:tab w:val="clear" w:pos="9072"/>
          <w:tab w:val="left" w:pos="4536"/>
        </w:tabs>
        <w:spacing w:line="240" w:lineRule="atLeast"/>
        <w:jc w:val="left"/>
        <w:rPr>
          <w:rFonts w:ascii="Calibri" w:hAnsi="Calibri" w:cs="Arial"/>
          <w:b/>
          <w:color w:val="009FE3"/>
          <w:sz w:val="22"/>
          <w:szCs w:val="22"/>
        </w:rPr>
      </w:pPr>
      <w:r w:rsidRPr="00186BDD">
        <w:rPr>
          <w:rFonts w:ascii="Calibri" w:hAnsi="Calibri" w:cs="Arial"/>
          <w:b/>
          <w:color w:val="009FE3"/>
          <w:sz w:val="22"/>
          <w:szCs w:val="22"/>
        </w:rPr>
        <w:t>Kernvraag</w:t>
      </w:r>
    </w:p>
    <w:p w:rsidR="001F7EC2" w:rsidRDefault="001F7EC2" w:rsidP="001F7EC2">
      <w:pPr>
        <w:pStyle w:val="Koptekst"/>
        <w:tabs>
          <w:tab w:val="clear" w:pos="9072"/>
          <w:tab w:val="left" w:pos="4536"/>
        </w:tabs>
        <w:spacing w:line="240" w:lineRule="atLeast"/>
        <w:jc w:val="left"/>
        <w:rPr>
          <w:rFonts w:ascii="Calibri" w:hAnsi="Calibri" w:cs="Arial"/>
          <w:sz w:val="22"/>
          <w:szCs w:val="22"/>
        </w:rPr>
      </w:pPr>
      <w:r>
        <w:rPr>
          <w:rFonts w:ascii="Calibri" w:hAnsi="Calibri" w:cs="Arial"/>
          <w:sz w:val="22"/>
          <w:szCs w:val="22"/>
        </w:rPr>
        <w:t>Hoe zorgen we voor financiële transparantie én een doelmatig verantwoordingsproces van de onderhoudskosten voor de Poppenbouwing?</w:t>
      </w:r>
    </w:p>
    <w:p w:rsidR="00406204" w:rsidRPr="00186BDD" w:rsidRDefault="00406204" w:rsidP="006F1DA1">
      <w:pPr>
        <w:pStyle w:val="Koptekst"/>
        <w:tabs>
          <w:tab w:val="clear" w:pos="9072"/>
          <w:tab w:val="left" w:pos="4536"/>
        </w:tabs>
        <w:spacing w:line="240" w:lineRule="atLeast"/>
        <w:jc w:val="left"/>
        <w:rPr>
          <w:rFonts w:ascii="Calibri" w:hAnsi="Calibri" w:cs="Arial"/>
          <w:sz w:val="22"/>
          <w:szCs w:val="22"/>
        </w:rPr>
      </w:pPr>
    </w:p>
    <w:p w:rsidR="005F7AF2" w:rsidRPr="00186BDD" w:rsidRDefault="00406204" w:rsidP="006F1DA1">
      <w:pPr>
        <w:pStyle w:val="Koptekst"/>
        <w:tabs>
          <w:tab w:val="clear" w:pos="9072"/>
          <w:tab w:val="left" w:pos="4536"/>
        </w:tabs>
        <w:spacing w:line="240" w:lineRule="atLeast"/>
        <w:jc w:val="left"/>
        <w:rPr>
          <w:rFonts w:ascii="Calibri" w:hAnsi="Calibri" w:cs="Arial"/>
          <w:b/>
          <w:color w:val="009FE3"/>
          <w:sz w:val="22"/>
          <w:szCs w:val="22"/>
        </w:rPr>
      </w:pPr>
      <w:r w:rsidRPr="00186BDD">
        <w:rPr>
          <w:rFonts w:ascii="Calibri" w:hAnsi="Calibri" w:cs="Arial"/>
          <w:b/>
          <w:color w:val="009FE3"/>
          <w:sz w:val="22"/>
          <w:szCs w:val="22"/>
        </w:rPr>
        <w:t>Beoogd</w:t>
      </w:r>
      <w:r w:rsidR="005F7AF2" w:rsidRPr="00186BDD">
        <w:rPr>
          <w:rFonts w:ascii="Calibri" w:hAnsi="Calibri" w:cs="Arial"/>
          <w:b/>
          <w:color w:val="009FE3"/>
          <w:sz w:val="22"/>
          <w:szCs w:val="22"/>
        </w:rPr>
        <w:t xml:space="preserve"> effect</w:t>
      </w:r>
    </w:p>
    <w:p w:rsidR="006E4638" w:rsidRPr="007D7AAE" w:rsidRDefault="006E4638" w:rsidP="006E4638">
      <w:pPr>
        <w:pStyle w:val="Koptekst"/>
        <w:tabs>
          <w:tab w:val="clear" w:pos="9072"/>
          <w:tab w:val="left" w:pos="4536"/>
        </w:tabs>
        <w:spacing w:line="240" w:lineRule="atLeast"/>
        <w:jc w:val="left"/>
        <w:rPr>
          <w:rFonts w:ascii="Calibri" w:hAnsi="Calibri" w:cs="Arial"/>
          <w:sz w:val="22"/>
          <w:szCs w:val="22"/>
        </w:rPr>
      </w:pPr>
      <w:r>
        <w:rPr>
          <w:rFonts w:ascii="Calibri" w:hAnsi="Calibri" w:cs="Arial"/>
          <w:sz w:val="22"/>
          <w:szCs w:val="22"/>
        </w:rPr>
        <w:t>Werkzaak heeft een goedgekeurde meerjarenonderhoudsplanning en –begroting. Hiermee draagt Werkzaak zorg voor het in stand houden van het huidige kwaliteitsniveau van de huisvesting aan de Poppenbouwing 18.</w:t>
      </w:r>
    </w:p>
    <w:p w:rsidR="00406204" w:rsidRPr="00186BDD" w:rsidRDefault="00406204" w:rsidP="006F1DA1">
      <w:pPr>
        <w:pStyle w:val="Koptekst"/>
        <w:tabs>
          <w:tab w:val="clear" w:pos="9072"/>
          <w:tab w:val="left" w:pos="4536"/>
        </w:tabs>
        <w:spacing w:line="240" w:lineRule="atLeast"/>
        <w:jc w:val="left"/>
        <w:rPr>
          <w:rFonts w:ascii="Calibri" w:hAnsi="Calibri" w:cs="Arial"/>
          <w:sz w:val="22"/>
          <w:szCs w:val="22"/>
        </w:rPr>
      </w:pPr>
    </w:p>
    <w:p w:rsidR="00E20822" w:rsidRPr="00186BDD" w:rsidRDefault="00E20822" w:rsidP="006F1DA1">
      <w:pPr>
        <w:jc w:val="left"/>
        <w:rPr>
          <w:rFonts w:ascii="Calibri" w:hAnsi="Calibri"/>
          <w:b/>
          <w:color w:val="009FE3"/>
          <w:sz w:val="22"/>
          <w:szCs w:val="22"/>
        </w:rPr>
      </w:pPr>
      <w:r w:rsidRPr="00186BDD">
        <w:rPr>
          <w:rFonts w:ascii="Calibri" w:hAnsi="Calibri"/>
          <w:b/>
          <w:color w:val="009FE3"/>
          <w:sz w:val="22"/>
          <w:szCs w:val="22"/>
        </w:rPr>
        <w:t>Argumenten</w:t>
      </w:r>
    </w:p>
    <w:p w:rsidR="00406204" w:rsidRDefault="006E4638" w:rsidP="006F1DA1">
      <w:pPr>
        <w:pStyle w:val="Koptekst"/>
        <w:tabs>
          <w:tab w:val="clear" w:pos="9072"/>
          <w:tab w:val="left" w:pos="4536"/>
        </w:tabs>
        <w:spacing w:line="240" w:lineRule="atLeast"/>
        <w:jc w:val="left"/>
        <w:rPr>
          <w:rFonts w:ascii="Calibri" w:hAnsi="Calibri" w:cs="Arial"/>
          <w:sz w:val="22"/>
          <w:szCs w:val="22"/>
        </w:rPr>
      </w:pPr>
      <w:r w:rsidRPr="007973D5">
        <w:rPr>
          <w:rFonts w:ascii="Calibri" w:hAnsi="Calibri" w:cs="Arial"/>
          <w:sz w:val="22"/>
          <w:szCs w:val="22"/>
        </w:rPr>
        <w:t xml:space="preserve">Het </w:t>
      </w:r>
      <w:r>
        <w:rPr>
          <w:rFonts w:ascii="Calibri" w:hAnsi="Calibri" w:cs="Arial"/>
          <w:sz w:val="22"/>
          <w:szCs w:val="22"/>
        </w:rPr>
        <w:t>opstellen van een goedgekeurd</w:t>
      </w:r>
      <w:r w:rsidR="00770119">
        <w:rPr>
          <w:rFonts w:ascii="Calibri" w:hAnsi="Calibri" w:cs="Arial"/>
          <w:sz w:val="22"/>
          <w:szCs w:val="22"/>
        </w:rPr>
        <w:t>e</w:t>
      </w:r>
      <w:r>
        <w:rPr>
          <w:rFonts w:ascii="Calibri" w:hAnsi="Calibri" w:cs="Arial"/>
          <w:sz w:val="22"/>
          <w:szCs w:val="22"/>
        </w:rPr>
        <w:t xml:space="preserve"> meerjarenonderhoudsplan</w:t>
      </w:r>
      <w:r w:rsidR="00770119">
        <w:rPr>
          <w:rFonts w:ascii="Calibri" w:hAnsi="Calibri" w:cs="Arial"/>
          <w:sz w:val="22"/>
          <w:szCs w:val="22"/>
        </w:rPr>
        <w:t>ning en-begroting</w:t>
      </w:r>
      <w:r>
        <w:rPr>
          <w:rFonts w:ascii="Calibri" w:hAnsi="Calibri" w:cs="Arial"/>
          <w:sz w:val="22"/>
          <w:szCs w:val="22"/>
        </w:rPr>
        <w:t xml:space="preserve"> geeft inzicht in de verwachte kosten voor de komende jaren en de mogelijkheid om de kosten over de jaren he</w:t>
      </w:r>
      <w:r w:rsidR="00657E1C">
        <w:rPr>
          <w:rFonts w:ascii="Calibri" w:hAnsi="Calibri" w:cs="Arial"/>
          <w:sz w:val="22"/>
          <w:szCs w:val="22"/>
        </w:rPr>
        <w:t xml:space="preserve">en te egaliseren. Zodra het in </w:t>
      </w:r>
      <w:r>
        <w:rPr>
          <w:rFonts w:ascii="Calibri" w:hAnsi="Calibri" w:cs="Arial"/>
          <w:sz w:val="22"/>
          <w:szCs w:val="22"/>
        </w:rPr>
        <w:t>de meerjarenonderhoudsbegroting opgenomen onderhoud zich voordoet, kunnen de gemaakte kosten direct ten laste van de hiervoor gevormde voorziening worden gebracht. Hiermee hoeven onderhoudsinvesteringen niet individueel aan het DB/AB voorgelegd te worden.</w:t>
      </w:r>
    </w:p>
    <w:p w:rsidR="006E4638" w:rsidRPr="00186BDD" w:rsidRDefault="006E4638" w:rsidP="006F1DA1">
      <w:pPr>
        <w:pStyle w:val="Koptekst"/>
        <w:tabs>
          <w:tab w:val="clear" w:pos="9072"/>
          <w:tab w:val="left" w:pos="4536"/>
        </w:tabs>
        <w:spacing w:line="240" w:lineRule="atLeast"/>
        <w:jc w:val="left"/>
        <w:rPr>
          <w:rFonts w:ascii="Calibri" w:hAnsi="Calibri" w:cs="Arial"/>
          <w:sz w:val="22"/>
          <w:szCs w:val="22"/>
        </w:rPr>
      </w:pPr>
    </w:p>
    <w:p w:rsidR="00E20822" w:rsidRPr="00186BDD" w:rsidRDefault="00E20822" w:rsidP="006F1DA1">
      <w:pPr>
        <w:jc w:val="left"/>
        <w:rPr>
          <w:rFonts w:ascii="Calibri" w:hAnsi="Calibri"/>
          <w:b/>
          <w:color w:val="009FE3"/>
          <w:sz w:val="22"/>
          <w:szCs w:val="22"/>
        </w:rPr>
      </w:pPr>
      <w:r w:rsidRPr="00186BDD">
        <w:rPr>
          <w:rFonts w:ascii="Calibri" w:hAnsi="Calibri"/>
          <w:b/>
          <w:color w:val="009FE3"/>
          <w:sz w:val="22"/>
          <w:szCs w:val="22"/>
        </w:rPr>
        <w:t>Bedrijfsvoering</w:t>
      </w:r>
    </w:p>
    <w:p w:rsidR="00E20822" w:rsidRPr="00186BDD" w:rsidRDefault="00E20822" w:rsidP="006F1DA1">
      <w:pPr>
        <w:pStyle w:val="commentaar"/>
        <w:rPr>
          <w:rFonts w:ascii="Calibri" w:hAnsi="Calibri"/>
          <w:sz w:val="22"/>
          <w:szCs w:val="22"/>
        </w:rPr>
      </w:pPr>
      <w:r w:rsidRPr="00186BDD">
        <w:rPr>
          <w:rFonts w:ascii="Calibri" w:hAnsi="Calibri"/>
          <w:sz w:val="22"/>
          <w:szCs w:val="22"/>
        </w:rPr>
        <w:t>Financieel</w:t>
      </w:r>
    </w:p>
    <w:p w:rsidR="00706CA4" w:rsidRPr="00F7124B" w:rsidRDefault="00706CA4" w:rsidP="00706CA4">
      <w:pPr>
        <w:pStyle w:val="Koptekst"/>
        <w:tabs>
          <w:tab w:val="clear" w:pos="9072"/>
          <w:tab w:val="left" w:pos="4536"/>
        </w:tabs>
        <w:jc w:val="left"/>
        <w:rPr>
          <w:rFonts w:ascii="Calibri" w:hAnsi="Calibri"/>
          <w:sz w:val="22"/>
          <w:szCs w:val="22"/>
        </w:rPr>
      </w:pPr>
      <w:r w:rsidRPr="00F7124B">
        <w:rPr>
          <w:rFonts w:ascii="Calibri" w:hAnsi="Calibri"/>
          <w:sz w:val="22"/>
          <w:szCs w:val="22"/>
        </w:rPr>
        <w:t xml:space="preserve">Om de kosten van het groot onderhoud te kunnen egaliseren is een voorziening onderhoud gevormd. Voor het onderhoud is jaarlijks een bedrag van EUR 215.300 (4.306.500/20 jaar) nodig om te kunnen voldoen aan alle in de planning opgenomen lasten voor onderhoud. </w:t>
      </w:r>
    </w:p>
    <w:p w:rsidR="00706CA4" w:rsidRPr="00F7124B" w:rsidRDefault="00706CA4" w:rsidP="00706CA4">
      <w:pPr>
        <w:pStyle w:val="Koptekst"/>
        <w:tabs>
          <w:tab w:val="clear" w:pos="9072"/>
          <w:tab w:val="left" w:pos="4536"/>
        </w:tabs>
        <w:jc w:val="left"/>
        <w:rPr>
          <w:rFonts w:ascii="Calibri" w:hAnsi="Calibri"/>
          <w:sz w:val="22"/>
          <w:szCs w:val="22"/>
        </w:rPr>
      </w:pPr>
      <w:r w:rsidRPr="00F7124B">
        <w:rPr>
          <w:rFonts w:ascii="Calibri" w:hAnsi="Calibri"/>
          <w:sz w:val="22"/>
          <w:szCs w:val="22"/>
        </w:rPr>
        <w:t xml:space="preserve">In de begroting 2023 is voor onderhoud opgenomen 120.200 euro (56.000 euro reserve en 64.200 exploitatiebudget). De bedrijfsvoeringslasten worden met een bedrag van 94.800 euro verhoogd. De financiële consequenties zijn verwerkt in de bestuursrapportage 2023 en begroting 2024. In bijgevoegd overzicht zijn per jaar de verwachte kosten van onderhoud te zien. Zoals zichtbaar in bijlage 1 is het voorgestelde bedrag over de gehele periode (2023 t/m 2042) voldoende om aan het noodzakelijke, verwachte onderhoud te voldoen. </w:t>
      </w:r>
    </w:p>
    <w:p w:rsidR="00706CA4" w:rsidRDefault="00706CA4" w:rsidP="00706CA4">
      <w:pPr>
        <w:pStyle w:val="Koptekst"/>
        <w:tabs>
          <w:tab w:val="clear" w:pos="9072"/>
          <w:tab w:val="left" w:pos="4536"/>
        </w:tabs>
        <w:jc w:val="left"/>
        <w:rPr>
          <w:rFonts w:ascii="Calibri" w:hAnsi="Calibri"/>
          <w:sz w:val="22"/>
          <w:szCs w:val="22"/>
        </w:rPr>
      </w:pPr>
      <w:r w:rsidRPr="00F7124B">
        <w:rPr>
          <w:rFonts w:ascii="Calibri" w:hAnsi="Calibri"/>
          <w:sz w:val="22"/>
          <w:szCs w:val="22"/>
        </w:rPr>
        <w:t>De reserve onderhoud (106.434 euro) is door het vormen van een voorziening niet meer nodig en kan vrijvallen in de jaarrekening 2023.</w:t>
      </w:r>
    </w:p>
    <w:p w:rsidR="00406204" w:rsidRDefault="00406204" w:rsidP="006F1DA1">
      <w:pPr>
        <w:pStyle w:val="Koptekst"/>
        <w:tabs>
          <w:tab w:val="clear" w:pos="9072"/>
          <w:tab w:val="left" w:pos="4536"/>
        </w:tabs>
        <w:jc w:val="left"/>
        <w:rPr>
          <w:rFonts w:ascii="Calibri" w:hAnsi="Calibri"/>
          <w:sz w:val="22"/>
          <w:szCs w:val="22"/>
        </w:rPr>
      </w:pPr>
    </w:p>
    <w:p w:rsidR="00706CA4" w:rsidRPr="00186BDD" w:rsidRDefault="00706CA4" w:rsidP="006F1DA1">
      <w:pPr>
        <w:pStyle w:val="Koptekst"/>
        <w:tabs>
          <w:tab w:val="clear" w:pos="9072"/>
          <w:tab w:val="left" w:pos="4536"/>
        </w:tabs>
        <w:jc w:val="left"/>
        <w:rPr>
          <w:rFonts w:ascii="Calibri" w:hAnsi="Calibri"/>
          <w:sz w:val="22"/>
          <w:szCs w:val="22"/>
        </w:rPr>
      </w:pPr>
    </w:p>
    <w:p w:rsidR="00E20822" w:rsidRPr="00186BDD" w:rsidRDefault="00E20822" w:rsidP="00ED05B3">
      <w:pPr>
        <w:pStyle w:val="commentaar"/>
        <w:rPr>
          <w:rFonts w:ascii="Calibri" w:hAnsi="Calibri"/>
          <w:i w:val="0"/>
          <w:sz w:val="22"/>
          <w:szCs w:val="22"/>
        </w:rPr>
      </w:pPr>
      <w:r w:rsidRPr="00186BDD">
        <w:rPr>
          <w:rFonts w:ascii="Calibri" w:hAnsi="Calibri"/>
          <w:sz w:val="22"/>
          <w:szCs w:val="22"/>
        </w:rPr>
        <w:lastRenderedPageBreak/>
        <w:t>Personeel en organisatie</w:t>
      </w:r>
      <w:r w:rsidR="00ED05B3">
        <w:rPr>
          <w:rFonts w:ascii="Calibri" w:hAnsi="Calibri"/>
          <w:sz w:val="22"/>
          <w:szCs w:val="22"/>
        </w:rPr>
        <w:t xml:space="preserve">, </w:t>
      </w:r>
      <w:r w:rsidRPr="00186BDD">
        <w:rPr>
          <w:rFonts w:ascii="Calibri" w:hAnsi="Calibri"/>
          <w:sz w:val="22"/>
          <w:szCs w:val="22"/>
        </w:rPr>
        <w:t>Communicatie</w:t>
      </w:r>
      <w:r w:rsidR="00ED05B3">
        <w:rPr>
          <w:rFonts w:ascii="Calibri" w:hAnsi="Calibri"/>
          <w:sz w:val="22"/>
          <w:szCs w:val="22"/>
        </w:rPr>
        <w:t xml:space="preserve">, </w:t>
      </w:r>
      <w:r w:rsidRPr="00186BDD">
        <w:rPr>
          <w:rFonts w:ascii="Calibri" w:hAnsi="Calibri"/>
          <w:sz w:val="22"/>
          <w:szCs w:val="22"/>
        </w:rPr>
        <w:t>Juridische zaken</w:t>
      </w:r>
    </w:p>
    <w:p w:rsidR="00E20822" w:rsidRPr="00186BDD" w:rsidRDefault="00D46301" w:rsidP="006F1DA1">
      <w:pPr>
        <w:pStyle w:val="Koptekst"/>
        <w:tabs>
          <w:tab w:val="clear" w:pos="9072"/>
          <w:tab w:val="left" w:pos="4536"/>
        </w:tabs>
        <w:jc w:val="left"/>
        <w:rPr>
          <w:rFonts w:ascii="Calibri" w:hAnsi="Calibri"/>
          <w:sz w:val="22"/>
          <w:szCs w:val="22"/>
        </w:rPr>
      </w:pPr>
      <w:r>
        <w:rPr>
          <w:rFonts w:ascii="Calibri" w:hAnsi="Calibri"/>
          <w:sz w:val="22"/>
          <w:szCs w:val="22"/>
        </w:rPr>
        <w:t>Geen bijzonderheden</w:t>
      </w:r>
    </w:p>
    <w:p w:rsidR="00E20822" w:rsidRPr="00186BDD" w:rsidRDefault="00E20822" w:rsidP="006F1DA1">
      <w:pPr>
        <w:pStyle w:val="Koptekst"/>
        <w:tabs>
          <w:tab w:val="clear" w:pos="9072"/>
          <w:tab w:val="left" w:pos="4536"/>
        </w:tabs>
        <w:jc w:val="left"/>
        <w:rPr>
          <w:rFonts w:ascii="Calibri" w:hAnsi="Calibri"/>
          <w:sz w:val="22"/>
          <w:szCs w:val="22"/>
        </w:rPr>
      </w:pPr>
    </w:p>
    <w:p w:rsidR="0025796E" w:rsidRDefault="006E7D3E" w:rsidP="006F1DA1">
      <w:pPr>
        <w:jc w:val="left"/>
        <w:rPr>
          <w:rFonts w:ascii="Calibri" w:hAnsi="Calibri"/>
          <w:i/>
          <w:sz w:val="22"/>
          <w:szCs w:val="22"/>
        </w:rPr>
      </w:pPr>
      <w:r w:rsidRPr="00186BDD">
        <w:rPr>
          <w:rFonts w:ascii="Calibri" w:hAnsi="Calibri"/>
          <w:i/>
          <w:sz w:val="22"/>
          <w:szCs w:val="22"/>
        </w:rPr>
        <w:t>Routing na besluitvorming A</w:t>
      </w:r>
      <w:r w:rsidR="0025796E" w:rsidRPr="00186BDD">
        <w:rPr>
          <w:rFonts w:ascii="Calibri" w:hAnsi="Calibri"/>
          <w:i/>
          <w:sz w:val="22"/>
          <w:szCs w:val="22"/>
        </w:rPr>
        <w:t>B</w:t>
      </w:r>
    </w:p>
    <w:p w:rsidR="00D46301" w:rsidRDefault="00D46301" w:rsidP="006F1DA1">
      <w:pPr>
        <w:pStyle w:val="Koptekst"/>
        <w:tabs>
          <w:tab w:val="clear" w:pos="9072"/>
          <w:tab w:val="left" w:pos="4536"/>
        </w:tabs>
        <w:spacing w:line="240" w:lineRule="atLeast"/>
        <w:jc w:val="left"/>
        <w:rPr>
          <w:rFonts w:ascii="Calibri" w:hAnsi="Calibri" w:cs="Arial"/>
          <w:sz w:val="22"/>
          <w:szCs w:val="22"/>
        </w:rPr>
      </w:pPr>
      <w:r>
        <w:rPr>
          <w:rFonts w:ascii="Calibri" w:hAnsi="Calibri" w:cs="Arial"/>
          <w:sz w:val="22"/>
          <w:szCs w:val="22"/>
        </w:rPr>
        <w:t>Uitvoering en verantwoording door Werkzaak Rivierenland</w:t>
      </w:r>
    </w:p>
    <w:p w:rsidR="00D46301" w:rsidRPr="00EA30C2" w:rsidRDefault="00D46301" w:rsidP="006F1DA1">
      <w:pPr>
        <w:jc w:val="left"/>
        <w:rPr>
          <w:rFonts w:ascii="Calibri" w:hAnsi="Calibri"/>
          <w:i/>
          <w:sz w:val="22"/>
          <w:szCs w:val="22"/>
        </w:rPr>
      </w:pPr>
    </w:p>
    <w:p w:rsidR="00E20822" w:rsidRPr="000767C4" w:rsidRDefault="00E20822" w:rsidP="006F1DA1">
      <w:pPr>
        <w:jc w:val="left"/>
        <w:rPr>
          <w:rFonts w:ascii="Calibri" w:hAnsi="Calibri"/>
          <w:b/>
          <w:color w:val="2D8CDD"/>
          <w:sz w:val="22"/>
          <w:szCs w:val="22"/>
        </w:rPr>
      </w:pPr>
      <w:r w:rsidRPr="000767C4">
        <w:rPr>
          <w:rFonts w:ascii="Calibri" w:hAnsi="Calibri"/>
          <w:b/>
          <w:color w:val="2D8CDD"/>
          <w:sz w:val="22"/>
          <w:szCs w:val="22"/>
        </w:rPr>
        <w:t>Evaluatie</w:t>
      </w:r>
    </w:p>
    <w:p w:rsidR="005D3820" w:rsidRDefault="00D46301" w:rsidP="006F1DA1">
      <w:pPr>
        <w:jc w:val="left"/>
        <w:rPr>
          <w:rFonts w:ascii="Calibri" w:hAnsi="Calibri"/>
          <w:sz w:val="22"/>
          <w:szCs w:val="22"/>
        </w:rPr>
      </w:pPr>
      <w:r>
        <w:rPr>
          <w:rFonts w:ascii="Calibri" w:hAnsi="Calibri"/>
          <w:sz w:val="22"/>
          <w:szCs w:val="22"/>
        </w:rPr>
        <w:t xml:space="preserve">Het DB wordt via de reguliere financiële rapportages geïnformeerd over de realisatie en </w:t>
      </w:r>
      <w:r w:rsidR="006F1DA1">
        <w:rPr>
          <w:rFonts w:ascii="Calibri" w:hAnsi="Calibri"/>
          <w:sz w:val="22"/>
          <w:szCs w:val="22"/>
        </w:rPr>
        <w:t>onderhoud</w:t>
      </w:r>
      <w:r>
        <w:rPr>
          <w:rFonts w:ascii="Calibri" w:hAnsi="Calibri"/>
          <w:sz w:val="22"/>
          <w:szCs w:val="22"/>
        </w:rPr>
        <w:t>.</w:t>
      </w:r>
    </w:p>
    <w:p w:rsidR="005D3820" w:rsidRDefault="005D3820" w:rsidP="006F1DA1">
      <w:pPr>
        <w:jc w:val="left"/>
        <w:rPr>
          <w:rFonts w:ascii="Calibri" w:hAnsi="Calibri"/>
          <w:sz w:val="22"/>
          <w:szCs w:val="22"/>
        </w:rPr>
        <w:sectPr w:rsidR="005D3820" w:rsidSect="00C53153">
          <w:headerReference w:type="default" r:id="rId8"/>
          <w:footerReference w:type="even" r:id="rId9"/>
          <w:footerReference w:type="default" r:id="rId10"/>
          <w:pgSz w:w="11906" w:h="16838" w:code="9"/>
          <w:pgMar w:top="2835" w:right="1418" w:bottom="1418" w:left="1418" w:header="709" w:footer="709" w:gutter="0"/>
          <w:paperSrc w:first="7" w:other="7"/>
          <w:cols w:space="708"/>
          <w:docGrid w:linePitch="360"/>
        </w:sectPr>
      </w:pPr>
      <w:r>
        <w:rPr>
          <w:rFonts w:ascii="Calibri" w:hAnsi="Calibri"/>
          <w:sz w:val="22"/>
          <w:szCs w:val="22"/>
        </w:rPr>
        <w:t>Om de vijf jaar, of eerder indien</w:t>
      </w:r>
      <w:r w:rsidR="009B68A7">
        <w:rPr>
          <w:rFonts w:ascii="Calibri" w:hAnsi="Calibri"/>
          <w:sz w:val="22"/>
          <w:szCs w:val="22"/>
        </w:rPr>
        <w:t xml:space="preserve"> zich</w:t>
      </w:r>
      <w:r>
        <w:rPr>
          <w:rFonts w:ascii="Calibri" w:hAnsi="Calibri"/>
          <w:sz w:val="22"/>
          <w:szCs w:val="22"/>
        </w:rPr>
        <w:t xml:space="preserve"> een g</w:t>
      </w:r>
      <w:r w:rsidR="00657E1C">
        <w:rPr>
          <w:rFonts w:ascii="Calibri" w:hAnsi="Calibri"/>
          <w:sz w:val="22"/>
          <w:szCs w:val="22"/>
        </w:rPr>
        <w:t>rote wijziging voordoet, zal de</w:t>
      </w:r>
      <w:r>
        <w:rPr>
          <w:rFonts w:ascii="Calibri" w:hAnsi="Calibri"/>
          <w:sz w:val="22"/>
          <w:szCs w:val="22"/>
        </w:rPr>
        <w:t xml:space="preserve"> meerjarenonderhoudsplan</w:t>
      </w:r>
      <w:r w:rsidR="00657E1C">
        <w:rPr>
          <w:rFonts w:ascii="Calibri" w:hAnsi="Calibri"/>
          <w:sz w:val="22"/>
          <w:szCs w:val="22"/>
        </w:rPr>
        <w:t>ning en- begroting</w:t>
      </w:r>
      <w:r>
        <w:rPr>
          <w:rFonts w:ascii="Calibri" w:hAnsi="Calibri"/>
          <w:sz w:val="22"/>
          <w:szCs w:val="22"/>
        </w:rPr>
        <w:t xml:space="preserve"> ter goedkeuring w</w:t>
      </w:r>
      <w:r w:rsidR="00B91393">
        <w:rPr>
          <w:rFonts w:ascii="Calibri" w:hAnsi="Calibri"/>
          <w:sz w:val="22"/>
          <w:szCs w:val="22"/>
        </w:rPr>
        <w:t>orden voorgelegd aan het AB/</w:t>
      </w:r>
      <w:r>
        <w:rPr>
          <w:rFonts w:ascii="Calibri" w:hAnsi="Calibri"/>
          <w:sz w:val="22"/>
          <w:szCs w:val="22"/>
        </w:rPr>
        <w:t>DB, zodat vold</w:t>
      </w:r>
      <w:r w:rsidR="009B68A7">
        <w:rPr>
          <w:rFonts w:ascii="Calibri" w:hAnsi="Calibri"/>
          <w:sz w:val="22"/>
          <w:szCs w:val="22"/>
        </w:rPr>
        <w:t>aa</w:t>
      </w:r>
      <w:r>
        <w:rPr>
          <w:rFonts w:ascii="Calibri" w:hAnsi="Calibri"/>
          <w:sz w:val="22"/>
          <w:szCs w:val="22"/>
        </w:rPr>
        <w:t xml:space="preserve">n </w:t>
      </w:r>
      <w:r w:rsidR="009B68A7">
        <w:rPr>
          <w:rFonts w:ascii="Calibri" w:hAnsi="Calibri"/>
          <w:sz w:val="22"/>
          <w:szCs w:val="22"/>
        </w:rPr>
        <w:t xml:space="preserve">wordt </w:t>
      </w:r>
      <w:r>
        <w:rPr>
          <w:rFonts w:ascii="Calibri" w:hAnsi="Calibri"/>
          <w:sz w:val="22"/>
          <w:szCs w:val="22"/>
        </w:rPr>
        <w:t>aan de vereisten vanuit het BBV.</w:t>
      </w:r>
    </w:p>
    <w:p w:rsidR="00D46301" w:rsidRDefault="00D46301" w:rsidP="00D46301">
      <w:pPr>
        <w:rPr>
          <w:rFonts w:ascii="Calibri" w:hAnsi="Calibri"/>
          <w:sz w:val="22"/>
          <w:szCs w:val="22"/>
        </w:rPr>
      </w:pPr>
    </w:p>
    <w:tbl>
      <w:tblPr>
        <w:tblStyle w:val="Rastertabel2"/>
        <w:tblW w:w="14419" w:type="dxa"/>
        <w:tblLook w:val="04A0" w:firstRow="1" w:lastRow="0" w:firstColumn="1" w:lastColumn="0" w:noHBand="0" w:noVBand="1"/>
      </w:tblPr>
      <w:tblGrid>
        <w:gridCol w:w="2345"/>
        <w:gridCol w:w="1160"/>
        <w:gridCol w:w="1160"/>
        <w:gridCol w:w="1278"/>
        <w:gridCol w:w="1160"/>
        <w:gridCol w:w="1280"/>
        <w:gridCol w:w="1278"/>
        <w:gridCol w:w="1160"/>
        <w:gridCol w:w="1160"/>
        <w:gridCol w:w="1160"/>
        <w:gridCol w:w="1278"/>
      </w:tblGrid>
      <w:tr w:rsidR="00D46301" w:rsidRPr="001E1E27" w:rsidTr="007A307C">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noWrap/>
            <w:hideMark/>
          </w:tcPr>
          <w:p w:rsidR="00D46301" w:rsidRPr="001E1E27" w:rsidRDefault="00D46301" w:rsidP="007A307C">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Project:</w:t>
            </w:r>
          </w:p>
        </w:tc>
        <w:tc>
          <w:tcPr>
            <w:tcW w:w="6038" w:type="dxa"/>
            <w:gridSpan w:val="5"/>
            <w:noWrap/>
            <w:hideMark/>
          </w:tcPr>
          <w:p w:rsidR="00D46301" w:rsidRPr="001E1E27" w:rsidRDefault="00D46301" w:rsidP="007A307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Werkzaak Rivierenland Poppenbouwing 18 te Geldermalsen</w:t>
            </w:r>
          </w:p>
        </w:tc>
        <w:tc>
          <w:tcPr>
            <w:tcW w:w="1278" w:type="dxa"/>
            <w:shd w:val="clear" w:color="auto" w:fill="auto"/>
            <w:noWrap/>
            <w:hideMark/>
          </w:tcPr>
          <w:p w:rsidR="00D46301" w:rsidRPr="001E1E27" w:rsidRDefault="00D46301" w:rsidP="007A307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160" w:type="dxa"/>
            <w:shd w:val="clear" w:color="auto" w:fill="auto"/>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60" w:type="dxa"/>
            <w:shd w:val="clear" w:color="auto" w:fill="auto"/>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60" w:type="dxa"/>
            <w:shd w:val="clear" w:color="auto" w:fill="auto"/>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278" w:type="dxa"/>
            <w:shd w:val="clear" w:color="auto" w:fill="auto"/>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Onderwerp:</w:t>
            </w:r>
          </w:p>
        </w:tc>
        <w:tc>
          <w:tcPr>
            <w:tcW w:w="6038" w:type="dxa"/>
            <w:gridSpan w:val="5"/>
            <w:noWrap/>
            <w:hideMark/>
          </w:tcPr>
          <w:p w:rsidR="00D46301" w:rsidRPr="001E1E27" w:rsidRDefault="00D46301" w:rsidP="007A307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Meerjarenonderhoudsbegroting 2023 - 2042</w:t>
            </w:r>
          </w:p>
        </w:tc>
        <w:tc>
          <w:tcPr>
            <w:tcW w:w="1278" w:type="dxa"/>
            <w:shd w:val="clear" w:color="auto" w:fill="auto"/>
            <w:noWrap/>
            <w:hideMark/>
          </w:tcPr>
          <w:p w:rsidR="00D46301" w:rsidRPr="001E1E27" w:rsidRDefault="00D46301" w:rsidP="007A307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160" w:type="dxa"/>
            <w:shd w:val="clear" w:color="auto" w:fill="auto"/>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shd w:val="clear" w:color="auto" w:fill="auto"/>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shd w:val="clear" w:color="auto" w:fill="auto"/>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shd w:val="clear" w:color="auto" w:fill="auto"/>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D46301" w:rsidRPr="00F11174"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Opgesteld:</w:t>
            </w:r>
          </w:p>
        </w:tc>
        <w:tc>
          <w:tcPr>
            <w:tcW w:w="6038" w:type="dxa"/>
            <w:gridSpan w:val="5"/>
            <w:noWrap/>
            <w:hideMark/>
          </w:tcPr>
          <w:p w:rsidR="00D46301" w:rsidRPr="001E1E27" w:rsidRDefault="00D46301" w:rsidP="007A307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val="en-US"/>
              </w:rPr>
            </w:pPr>
            <w:r w:rsidRPr="001E1E27">
              <w:rPr>
                <w:rFonts w:ascii="Calibri" w:hAnsi="Calibri" w:cs="Calibri"/>
                <w:color w:val="000000"/>
                <w:sz w:val="16"/>
                <w:szCs w:val="16"/>
                <w:lang w:val="en-US"/>
              </w:rPr>
              <w:t>WJM, JP, Controle: DvdB. People &amp; Bricks</w:t>
            </w:r>
          </w:p>
        </w:tc>
        <w:tc>
          <w:tcPr>
            <w:tcW w:w="1278" w:type="dxa"/>
            <w:shd w:val="clear" w:color="auto" w:fill="auto"/>
            <w:noWrap/>
            <w:hideMark/>
          </w:tcPr>
          <w:p w:rsidR="00D46301" w:rsidRPr="001E1E27" w:rsidRDefault="00D46301" w:rsidP="007A307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val="en-US"/>
              </w:rPr>
            </w:pPr>
          </w:p>
        </w:tc>
        <w:tc>
          <w:tcPr>
            <w:tcW w:w="1160" w:type="dxa"/>
            <w:shd w:val="clear" w:color="auto" w:fill="auto"/>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en-US"/>
              </w:rPr>
            </w:pPr>
          </w:p>
        </w:tc>
        <w:tc>
          <w:tcPr>
            <w:tcW w:w="1160" w:type="dxa"/>
            <w:shd w:val="clear" w:color="auto" w:fill="auto"/>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en-US"/>
              </w:rPr>
            </w:pPr>
          </w:p>
        </w:tc>
        <w:tc>
          <w:tcPr>
            <w:tcW w:w="1160" w:type="dxa"/>
            <w:shd w:val="clear" w:color="auto" w:fill="auto"/>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en-US"/>
              </w:rPr>
            </w:pPr>
          </w:p>
        </w:tc>
        <w:tc>
          <w:tcPr>
            <w:tcW w:w="1278" w:type="dxa"/>
            <w:shd w:val="clear" w:color="auto" w:fill="auto"/>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en-US"/>
              </w:rPr>
            </w:pP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datum</w:t>
            </w:r>
          </w:p>
        </w:tc>
        <w:tc>
          <w:tcPr>
            <w:tcW w:w="6038" w:type="dxa"/>
            <w:gridSpan w:val="5"/>
            <w:noWrap/>
            <w:hideMark/>
          </w:tcPr>
          <w:p w:rsidR="00D46301" w:rsidRPr="001E1E27" w:rsidRDefault="00D46301" w:rsidP="007A307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6-feb-23</w:t>
            </w:r>
          </w:p>
        </w:tc>
        <w:tc>
          <w:tcPr>
            <w:tcW w:w="1278" w:type="dxa"/>
            <w:shd w:val="clear" w:color="auto" w:fill="auto"/>
            <w:noWrap/>
            <w:hideMark/>
          </w:tcPr>
          <w:p w:rsidR="00D46301" w:rsidRPr="001E1E27" w:rsidRDefault="00D46301" w:rsidP="007A307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160" w:type="dxa"/>
            <w:shd w:val="clear" w:color="auto" w:fill="auto"/>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shd w:val="clear" w:color="auto" w:fill="auto"/>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shd w:val="clear" w:color="auto" w:fill="auto"/>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shd w:val="clear" w:color="auto" w:fill="auto"/>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shd w:val="clear" w:color="auto" w:fill="FFFFFF" w:themeFill="background1"/>
            <w:noWrap/>
            <w:hideMark/>
          </w:tcPr>
          <w:p w:rsidR="00D46301" w:rsidRPr="001E1E27" w:rsidRDefault="00D46301" w:rsidP="007A307C">
            <w:pPr>
              <w:spacing w:line="240" w:lineRule="auto"/>
              <w:jc w:val="left"/>
              <w:rPr>
                <w:rFonts w:ascii="Times New Roman" w:hAnsi="Times New Roman"/>
                <w:sz w:val="16"/>
                <w:szCs w:val="16"/>
              </w:rPr>
            </w:pPr>
          </w:p>
        </w:tc>
        <w:tc>
          <w:tcPr>
            <w:tcW w:w="1160"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60"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278"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60"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278"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278"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60"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60"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60"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278" w:type="dxa"/>
            <w:shd w:val="clear" w:color="auto" w:fill="FFFFFF" w:themeFill="background1"/>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Times New Roman" w:hAnsi="Times New Roman"/>
                <w:sz w:val="16"/>
                <w:szCs w:val="16"/>
              </w:rPr>
            </w:pPr>
          </w:p>
        </w:tc>
        <w:tc>
          <w:tcPr>
            <w:tcW w:w="1160"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2023</w:t>
            </w:r>
          </w:p>
        </w:tc>
        <w:tc>
          <w:tcPr>
            <w:tcW w:w="1160"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2024</w:t>
            </w:r>
          </w:p>
        </w:tc>
        <w:tc>
          <w:tcPr>
            <w:tcW w:w="1278"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2025</w:t>
            </w:r>
          </w:p>
        </w:tc>
        <w:tc>
          <w:tcPr>
            <w:tcW w:w="1160"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2026</w:t>
            </w:r>
          </w:p>
        </w:tc>
        <w:tc>
          <w:tcPr>
            <w:tcW w:w="1278"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2027</w:t>
            </w:r>
          </w:p>
        </w:tc>
        <w:tc>
          <w:tcPr>
            <w:tcW w:w="1278"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2028</w:t>
            </w:r>
          </w:p>
        </w:tc>
        <w:tc>
          <w:tcPr>
            <w:tcW w:w="1160"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2029</w:t>
            </w:r>
          </w:p>
        </w:tc>
        <w:tc>
          <w:tcPr>
            <w:tcW w:w="1160"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2030</w:t>
            </w:r>
          </w:p>
        </w:tc>
        <w:tc>
          <w:tcPr>
            <w:tcW w:w="1160"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2031</w:t>
            </w:r>
          </w:p>
        </w:tc>
        <w:tc>
          <w:tcPr>
            <w:tcW w:w="1278" w:type="dxa"/>
            <w:noWrap/>
            <w:hideMark/>
          </w:tcPr>
          <w:p w:rsidR="00D46301" w:rsidRPr="001E1E27" w:rsidRDefault="00D46301" w:rsidP="007A307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u w:val="single"/>
              </w:rPr>
            </w:pPr>
            <w:r w:rsidRPr="001E1E27">
              <w:rPr>
                <w:rFonts w:ascii="Calibri" w:hAnsi="Calibri" w:cs="Calibri"/>
                <w:b/>
                <w:bCs/>
                <w:color w:val="000000"/>
                <w:sz w:val="16"/>
                <w:szCs w:val="16"/>
                <w:u w:val="single"/>
              </w:rPr>
              <w:t>2032</w:t>
            </w: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Buitenwanden</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6.224,55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561,35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13.592,13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6.611,66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4.039,59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7.218,57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103,53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7.667,49 </w:t>
            </w: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Buitenwand openingen: deuren, kozijnen, zonwering</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2.321,28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8.238,76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23.208,14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2.227,34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19.505,76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2.701,07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15.832,67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2.837,82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3.217,00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51.832,54 </w:t>
            </w: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Binnendeuren, ramen, kozijnen</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5.706,04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5.663,98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6.114,63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5.950,72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29.833,18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6.900,24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7.334,59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7.249,57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7.705,90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71.930,06 </w:t>
            </w: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Balustrades en leuningen</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158,98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171,21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184,37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Lichtkoepels</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Inbouwpakketten: Keuken, Pantry's, restaurant</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2.193,92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2.248,77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2.304,99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2.362,61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2.421,68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2.482,22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2.544,28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2.607,88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2.673,08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2.739,91 </w:t>
            </w: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Buitenwandafwerking Gevelbeplating</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1.976,23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5.829,37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Binnenwandafwerking</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15.354,08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14.244,73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4.514,27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Vloerafwerking</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25.585,55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5.773,59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5.917,92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6.065,87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78.834,10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32.919,25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13.281,52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7.391,02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13.953,89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7.765,20 </w:t>
            </w: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Plafondafwerking</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7.132,05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7.493,11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45.045,15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8.270,99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8.689,71 </w:t>
            </w: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Dakafwerking, valbeveiliging</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4.717,45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4.835,39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4.956,27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5.080,18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5.207,19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5.337,37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5.470,80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5.607,57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5.747,76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21.265,52 </w:t>
            </w: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Installaties verwarming en klimaat</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22.951,87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43.999,93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53.499,74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20.980,43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32.998,91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22.042,57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27.200,94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23.158,47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27.156,49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243.881,78 </w:t>
            </w: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r w:rsidRPr="001E1E27">
              <w:rPr>
                <w:rFonts w:ascii="Calibri" w:hAnsi="Calibri" w:cs="Calibri"/>
                <w:color w:val="000000"/>
                <w:sz w:val="16"/>
                <w:szCs w:val="16"/>
              </w:rPr>
              <w:t>Installaties Elektra, verlichting, beveiliging, brandmeldcentrale</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18.659,20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9.596,84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18.586,26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10.082,68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24.492,83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10.593,12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20.515,76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11.129,40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22.734,42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11.692,82 </w:t>
            </w: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color w:val="000000"/>
                <w:sz w:val="16"/>
                <w:szCs w:val="16"/>
              </w:rPr>
            </w:pP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b w:val="0"/>
                <w:bCs w:val="0"/>
                <w:color w:val="000000"/>
                <w:sz w:val="16"/>
                <w:szCs w:val="16"/>
              </w:rPr>
            </w:pPr>
            <w:r w:rsidRPr="001E1E27">
              <w:rPr>
                <w:rFonts w:ascii="Calibri" w:hAnsi="Calibri" w:cs="Calibri"/>
                <w:b w:val="0"/>
                <w:bCs w:val="0"/>
                <w:color w:val="000000"/>
                <w:sz w:val="16"/>
                <w:szCs w:val="16"/>
              </w:rPr>
              <w:t>KOSTEN TOTAAL</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90.336,10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88.209,64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143.534,17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66.854,61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211.749,16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133.850,36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99.399,12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72.951,36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83.292,07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427.465,03 </w:t>
            </w:r>
          </w:p>
        </w:tc>
      </w:tr>
      <w:tr w:rsidR="00D46301" w:rsidRPr="001E1E27" w:rsidTr="007A307C">
        <w:trPr>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i/>
                <w:iCs/>
                <w:color w:val="000000"/>
                <w:sz w:val="16"/>
                <w:szCs w:val="16"/>
              </w:rPr>
            </w:pPr>
            <w:r w:rsidRPr="001E1E27">
              <w:rPr>
                <w:rFonts w:ascii="Calibri" w:hAnsi="Calibri" w:cs="Calibri"/>
                <w:i/>
                <w:iCs/>
                <w:color w:val="000000"/>
                <w:sz w:val="16"/>
                <w:szCs w:val="16"/>
              </w:rPr>
              <w:t>Jaarlijks onderhoud</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48.983,47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50.208,06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51.463,26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52.749,84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55.053,22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57.091,47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58.518,76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59.981,73 </w:t>
            </w:r>
          </w:p>
        </w:tc>
        <w:tc>
          <w:tcPr>
            <w:tcW w:w="1160"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61.481,27 </w:t>
            </w:r>
          </w:p>
        </w:tc>
        <w:tc>
          <w:tcPr>
            <w:tcW w:w="1278" w:type="dxa"/>
            <w:noWrap/>
            <w:hideMark/>
          </w:tcPr>
          <w:p w:rsidR="00D46301" w:rsidRPr="001E1E27" w:rsidRDefault="00D46301" w:rsidP="007A307C">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63.018,30 </w:t>
            </w:r>
          </w:p>
        </w:tc>
      </w:tr>
      <w:tr w:rsidR="00D46301" w:rsidRPr="001E1E27" w:rsidTr="007A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5" w:type="dxa"/>
            <w:noWrap/>
            <w:hideMark/>
          </w:tcPr>
          <w:p w:rsidR="00D46301" w:rsidRPr="001E1E27" w:rsidRDefault="00D46301" w:rsidP="007A307C">
            <w:pPr>
              <w:spacing w:line="240" w:lineRule="auto"/>
              <w:jc w:val="left"/>
              <w:rPr>
                <w:rFonts w:ascii="Calibri" w:hAnsi="Calibri" w:cs="Calibri"/>
                <w:i/>
                <w:iCs/>
                <w:color w:val="000000"/>
                <w:sz w:val="16"/>
                <w:szCs w:val="16"/>
              </w:rPr>
            </w:pPr>
            <w:r w:rsidRPr="001E1E27">
              <w:rPr>
                <w:rFonts w:ascii="Calibri" w:hAnsi="Calibri" w:cs="Calibri"/>
                <w:i/>
                <w:iCs/>
                <w:color w:val="000000"/>
                <w:sz w:val="16"/>
                <w:szCs w:val="16"/>
              </w:rPr>
              <w:t>Planmatig onderhoud</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41.352,63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38.001,58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92.070,91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14.104,77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156.695,95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76.758,89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40.880,36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12.969,63 </w:t>
            </w:r>
          </w:p>
        </w:tc>
        <w:tc>
          <w:tcPr>
            <w:tcW w:w="1160"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21.810,80 </w:t>
            </w:r>
          </w:p>
        </w:tc>
        <w:tc>
          <w:tcPr>
            <w:tcW w:w="1278" w:type="dxa"/>
            <w:noWrap/>
            <w:hideMark/>
          </w:tcPr>
          <w:p w:rsidR="00D46301" w:rsidRPr="001E1E27" w:rsidRDefault="00D46301" w:rsidP="007A307C">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364.446,73 </w:t>
            </w:r>
          </w:p>
        </w:tc>
      </w:tr>
    </w:tbl>
    <w:p w:rsidR="00D46301" w:rsidRDefault="00D46301">
      <w:pPr>
        <w:spacing w:line="240" w:lineRule="auto"/>
        <w:jc w:val="left"/>
        <w:rPr>
          <w:rFonts w:ascii="Calibri" w:hAnsi="Calibri"/>
          <w:sz w:val="22"/>
          <w:szCs w:val="22"/>
        </w:rPr>
      </w:pPr>
      <w:r>
        <w:rPr>
          <w:rFonts w:ascii="Calibri" w:hAnsi="Calibri"/>
          <w:sz w:val="22"/>
          <w:szCs w:val="22"/>
        </w:rPr>
        <w:br w:type="page"/>
      </w:r>
    </w:p>
    <w:p w:rsidR="002C5A4D" w:rsidRDefault="002C5A4D" w:rsidP="00D46301">
      <w:pPr>
        <w:rPr>
          <w:rFonts w:ascii="Calibri" w:hAnsi="Calibri"/>
          <w:sz w:val="22"/>
          <w:szCs w:val="22"/>
        </w:rPr>
      </w:pPr>
    </w:p>
    <w:tbl>
      <w:tblPr>
        <w:tblStyle w:val="Rastertabel2"/>
        <w:tblpPr w:leftFromText="141" w:rightFromText="141" w:vertAnchor="page" w:horzAnchor="margin" w:tblpY="3031"/>
        <w:tblW w:w="14742" w:type="dxa"/>
        <w:tblLook w:val="04A0" w:firstRow="1" w:lastRow="0" w:firstColumn="1" w:lastColumn="0" w:noHBand="0" w:noVBand="1"/>
      </w:tblPr>
      <w:tblGrid>
        <w:gridCol w:w="1773"/>
        <w:gridCol w:w="1156"/>
        <w:gridCol w:w="1059"/>
        <w:gridCol w:w="1156"/>
        <w:gridCol w:w="1156"/>
        <w:gridCol w:w="1303"/>
        <w:gridCol w:w="1156"/>
        <w:gridCol w:w="1156"/>
        <w:gridCol w:w="1156"/>
        <w:gridCol w:w="1156"/>
        <w:gridCol w:w="1156"/>
        <w:gridCol w:w="1359"/>
      </w:tblGrid>
      <w:tr w:rsidR="00D46301" w:rsidRPr="001E1E27" w:rsidTr="00D46301">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vAlign w:val="center"/>
          </w:tcPr>
          <w:p w:rsidR="00D46301" w:rsidRPr="001E1E27" w:rsidRDefault="00D46301" w:rsidP="00D46301">
            <w:pPr>
              <w:spacing w:line="240" w:lineRule="auto"/>
              <w:jc w:val="center"/>
              <w:rPr>
                <w:rFonts w:ascii="Calibri" w:hAnsi="Calibri" w:cs="Calibri"/>
                <w:b w:val="0"/>
                <w:bCs w:val="0"/>
                <w:color w:val="000000"/>
                <w:sz w:val="16"/>
                <w:szCs w:val="16"/>
                <w:u w:val="single"/>
              </w:rPr>
            </w:pPr>
          </w:p>
        </w:tc>
        <w:tc>
          <w:tcPr>
            <w:tcW w:w="1156"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2033</w:t>
            </w:r>
          </w:p>
        </w:tc>
        <w:tc>
          <w:tcPr>
            <w:tcW w:w="1059"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2034</w:t>
            </w:r>
          </w:p>
        </w:tc>
        <w:tc>
          <w:tcPr>
            <w:tcW w:w="1156"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2035</w:t>
            </w:r>
          </w:p>
        </w:tc>
        <w:tc>
          <w:tcPr>
            <w:tcW w:w="1156"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2036</w:t>
            </w:r>
          </w:p>
        </w:tc>
        <w:tc>
          <w:tcPr>
            <w:tcW w:w="1303"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2037</w:t>
            </w:r>
          </w:p>
        </w:tc>
        <w:tc>
          <w:tcPr>
            <w:tcW w:w="1156"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2038</w:t>
            </w:r>
          </w:p>
        </w:tc>
        <w:tc>
          <w:tcPr>
            <w:tcW w:w="1156"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2039</w:t>
            </w:r>
          </w:p>
        </w:tc>
        <w:tc>
          <w:tcPr>
            <w:tcW w:w="1156"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2040</w:t>
            </w:r>
          </w:p>
        </w:tc>
        <w:tc>
          <w:tcPr>
            <w:tcW w:w="1156"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2041</w:t>
            </w:r>
          </w:p>
        </w:tc>
        <w:tc>
          <w:tcPr>
            <w:tcW w:w="1156" w:type="dxa"/>
            <w:noWrap/>
            <w:hideMark/>
          </w:tcPr>
          <w:p w:rsidR="00D46301" w:rsidRPr="001E1E27" w:rsidRDefault="00D46301" w:rsidP="00D4630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u w:val="single"/>
              </w:rPr>
            </w:pPr>
            <w:r w:rsidRPr="001E1E27">
              <w:rPr>
                <w:rFonts w:ascii="Calibri" w:hAnsi="Calibri" w:cs="Calibri"/>
                <w:b w:val="0"/>
                <w:bCs w:val="0"/>
                <w:color w:val="000000"/>
                <w:sz w:val="16"/>
                <w:szCs w:val="16"/>
                <w:u w:val="single"/>
              </w:rPr>
              <w:t>2042</w:t>
            </w:r>
          </w:p>
        </w:tc>
        <w:tc>
          <w:tcPr>
            <w:tcW w:w="1359" w:type="dxa"/>
            <w:noWrap/>
            <w:hideMark/>
          </w:tcPr>
          <w:p w:rsidR="00D46301" w:rsidRPr="005A15E8" w:rsidRDefault="00D46301" w:rsidP="00D46301">
            <w:pPr>
              <w:spacing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u w:val="single"/>
              </w:rPr>
            </w:pPr>
            <w:r w:rsidRPr="005A15E8">
              <w:rPr>
                <w:rFonts w:ascii="Calibri" w:hAnsi="Calibri" w:cs="Calibri"/>
                <w:bCs w:val="0"/>
                <w:color w:val="000000"/>
                <w:sz w:val="16"/>
                <w:szCs w:val="16"/>
                <w:u w:val="single"/>
              </w:rPr>
              <w:t>Totaal 2023 t/m 2042</w:t>
            </w: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Buitenwanden</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16.560,69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718,57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8.371,33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5.171,02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8.891,94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126,15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29.753,24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 xml:space="preserve"> € </w:t>
            </w:r>
            <w:r w:rsidRPr="005A15E8">
              <w:rPr>
                <w:rFonts w:ascii="Calibri" w:hAnsi="Calibri" w:cs="Calibri"/>
                <w:b/>
                <w:color w:val="000000"/>
                <w:sz w:val="16"/>
                <w:szCs w:val="16"/>
              </w:rPr>
              <w:t xml:space="preserve">115.611,81 </w:t>
            </w:r>
          </w:p>
        </w:tc>
      </w:tr>
      <w:tr w:rsidR="00D46301" w:rsidRPr="001E1E27" w:rsidTr="00D46301">
        <w:trPr>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Buitenwand openingen: deuren, kozijnen, zonwering</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3.379,86 </w:t>
            </w:r>
          </w:p>
        </w:tc>
        <w:tc>
          <w:tcPr>
            <w:tcW w:w="1059"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3.132,42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3.550,96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3.291,00 </w:t>
            </w:r>
          </w:p>
        </w:tc>
        <w:tc>
          <w:tcPr>
            <w:tcW w:w="1303"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54.209,51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3.457,60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3.919,60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33.712,85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21.293,18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10.069,90 </w:t>
            </w:r>
          </w:p>
        </w:tc>
        <w:tc>
          <w:tcPr>
            <w:tcW w:w="1359" w:type="dxa"/>
            <w:noWrap/>
            <w:hideMark/>
          </w:tcPr>
          <w:p w:rsidR="00D46301" w:rsidRPr="005A15E8"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271.939,25 </w:t>
            </w: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Binnendeuren, ramen, kozijnen</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8.241,87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8.002,17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10.804,58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8.407,27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35.773,91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8.832,89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9.388,89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16.215,46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10.041,92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9.749,86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 xml:space="preserve"> € </w:t>
            </w:r>
            <w:r w:rsidRPr="005A15E8">
              <w:rPr>
                <w:rFonts w:ascii="Calibri" w:hAnsi="Calibri" w:cs="Calibri"/>
                <w:b/>
                <w:color w:val="000000"/>
                <w:sz w:val="16"/>
                <w:szCs w:val="16"/>
              </w:rPr>
              <w:t xml:space="preserve">279.847,75 </w:t>
            </w:r>
          </w:p>
        </w:tc>
      </w:tr>
      <w:tr w:rsidR="00D46301" w:rsidRPr="001E1E27" w:rsidTr="00D46301">
        <w:trPr>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Balustrades en leuningen</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198,55 </w:t>
            </w:r>
          </w:p>
        </w:tc>
        <w:tc>
          <w:tcPr>
            <w:tcW w:w="1059"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213,81 </w:t>
            </w:r>
          </w:p>
        </w:tc>
        <w:tc>
          <w:tcPr>
            <w:tcW w:w="1303"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230,25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247,96 </w:t>
            </w:r>
          </w:p>
        </w:tc>
        <w:tc>
          <w:tcPr>
            <w:tcW w:w="1359" w:type="dxa"/>
            <w:noWrap/>
            <w:hideMark/>
          </w:tcPr>
          <w:p w:rsidR="00D46301" w:rsidRPr="005A15E8"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 xml:space="preserve"> €</w:t>
            </w:r>
            <w:r w:rsidRPr="005A15E8">
              <w:rPr>
                <w:rFonts w:ascii="Calibri" w:hAnsi="Calibri" w:cs="Calibri"/>
                <w:b/>
                <w:color w:val="000000"/>
                <w:sz w:val="16"/>
                <w:szCs w:val="16"/>
              </w:rPr>
              <w:t xml:space="preserve"> 1.405,14 </w:t>
            </w: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Lichtkoepels</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   </w:t>
            </w:r>
          </w:p>
        </w:tc>
      </w:tr>
      <w:tr w:rsidR="00D46301" w:rsidRPr="001E1E27" w:rsidTr="00D46301">
        <w:trPr>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Inbouwpakketten: Keuken, Pantry's, restaurant</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2.808,41 </w:t>
            </w:r>
          </w:p>
        </w:tc>
        <w:tc>
          <w:tcPr>
            <w:tcW w:w="1059"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2.878,62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2.950,58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3.024,35 </w:t>
            </w:r>
          </w:p>
        </w:tc>
        <w:tc>
          <w:tcPr>
            <w:tcW w:w="1303"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279.752,81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3.177,45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3.256,89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3.338,31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3.421,77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3.507,31 </w:t>
            </w:r>
          </w:p>
        </w:tc>
        <w:tc>
          <w:tcPr>
            <w:tcW w:w="1359" w:type="dxa"/>
            <w:noWrap/>
            <w:hideMark/>
          </w:tcPr>
          <w:p w:rsidR="00D46301" w:rsidRPr="005A15E8"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€ 332.695,83 </w:t>
            </w: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Buitenwandafwerking Gevelbeplating</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6.595,40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7.462,09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 xml:space="preserve"> € </w:t>
            </w:r>
            <w:r w:rsidRPr="005A15E8">
              <w:rPr>
                <w:rFonts w:ascii="Calibri" w:hAnsi="Calibri" w:cs="Calibri"/>
                <w:b/>
                <w:color w:val="000000"/>
                <w:sz w:val="16"/>
                <w:szCs w:val="16"/>
              </w:rPr>
              <w:t xml:space="preserve">21.863,09 </w:t>
            </w:r>
          </w:p>
        </w:tc>
      </w:tr>
      <w:tr w:rsidR="00D46301" w:rsidRPr="001E1E27" w:rsidTr="00D46301">
        <w:trPr>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Binnenwandafwerking</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13.846,09 </w:t>
            </w:r>
          </w:p>
        </w:tc>
        <w:tc>
          <w:tcPr>
            <w:tcW w:w="1059"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5.107,48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303"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18.234,46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5.778,64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€ 16.870,12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359" w:type="dxa"/>
            <w:noWrap/>
            <w:hideMark/>
          </w:tcPr>
          <w:p w:rsidR="00D46301" w:rsidRPr="005A15E8"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w:t>
            </w:r>
            <w:r>
              <w:rPr>
                <w:rFonts w:ascii="Calibri" w:hAnsi="Calibri" w:cs="Calibri"/>
                <w:b/>
                <w:color w:val="000000"/>
                <w:sz w:val="16"/>
                <w:szCs w:val="16"/>
              </w:rPr>
              <w:t xml:space="preserve"> </w:t>
            </w:r>
            <w:r w:rsidRPr="005A15E8">
              <w:rPr>
                <w:rFonts w:ascii="Calibri" w:hAnsi="Calibri" w:cs="Calibri"/>
                <w:b/>
                <w:color w:val="000000"/>
                <w:sz w:val="16"/>
                <w:szCs w:val="16"/>
              </w:rPr>
              <w:t xml:space="preserve">93.949,86 </w:t>
            </w: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Vloerafwerking</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40.201,56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8.158,31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15.402,49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8.571,32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443.975,87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37.902,82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17.001,47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9.461,14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€ 17.862,16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9.940,11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€ 805.965,15 </w:t>
            </w:r>
          </w:p>
        </w:tc>
      </w:tr>
      <w:tr w:rsidR="00D46301" w:rsidRPr="001E1E27" w:rsidTr="00D46301">
        <w:trPr>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Plafondafwerking</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23.179,14 </w:t>
            </w:r>
          </w:p>
        </w:tc>
        <w:tc>
          <w:tcPr>
            <w:tcW w:w="1059"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9.129,63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9.591,82 </w:t>
            </w:r>
          </w:p>
        </w:tc>
        <w:tc>
          <w:tcPr>
            <w:tcW w:w="1303"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57.661,60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10.587,57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11.123,57 </w:t>
            </w:r>
          </w:p>
        </w:tc>
        <w:tc>
          <w:tcPr>
            <w:tcW w:w="1359" w:type="dxa"/>
            <w:noWrap/>
            <w:hideMark/>
          </w:tcPr>
          <w:p w:rsidR="00D46301" w:rsidRPr="005A15E8"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€ 197.904,34 </w:t>
            </w: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Dakafwerking, valbeveiliging</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6.038,74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6.189,71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6.344,45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6.503,06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24.059,98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6.832,28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7.003,09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7.178,16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7.357,62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27.221,66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€ 172.954,26 </w:t>
            </w:r>
          </w:p>
        </w:tc>
      </w:tr>
      <w:tr w:rsidR="00D46301" w:rsidRPr="001E1E27" w:rsidTr="00D46301">
        <w:trPr>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Installaties verwarming en klimaat</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66.033,29 </w:t>
            </w:r>
          </w:p>
        </w:tc>
        <w:tc>
          <w:tcPr>
            <w:tcW w:w="1059"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41.183,01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29.975,68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116.883,74 </w:t>
            </w:r>
          </w:p>
        </w:tc>
        <w:tc>
          <w:tcPr>
            <w:tcW w:w="1303"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165.727,21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28.216,35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50.217,77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29.644,80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79.420,66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w:t>
            </w:r>
            <w:r>
              <w:rPr>
                <w:rFonts w:ascii="Calibri" w:hAnsi="Calibri" w:cs="Calibri"/>
                <w:color w:val="000000"/>
                <w:sz w:val="16"/>
                <w:szCs w:val="16"/>
              </w:rPr>
              <w:t xml:space="preserve">  </w:t>
            </w:r>
            <w:r w:rsidRPr="001E1E27">
              <w:rPr>
                <w:rFonts w:ascii="Calibri" w:hAnsi="Calibri" w:cs="Calibri"/>
                <w:color w:val="000000"/>
                <w:sz w:val="16"/>
                <w:szCs w:val="16"/>
              </w:rPr>
              <w:t xml:space="preserve">35.016,39 </w:t>
            </w:r>
          </w:p>
        </w:tc>
        <w:tc>
          <w:tcPr>
            <w:tcW w:w="1359" w:type="dxa"/>
            <w:noWrap/>
            <w:hideMark/>
          </w:tcPr>
          <w:p w:rsidR="00D46301" w:rsidRPr="005A15E8"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€ 1.160.190,03 </w:t>
            </w: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r w:rsidRPr="001E1E27">
              <w:rPr>
                <w:rFonts w:ascii="Calibri" w:hAnsi="Calibri" w:cs="Calibri"/>
                <w:color w:val="000000"/>
                <w:sz w:val="16"/>
                <w:szCs w:val="16"/>
              </w:rPr>
              <w:t>Installaties Elektra, verlichting, beveiliging, brandmeldcentrale</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54.277,34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12.284,77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66.776,32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12.906,69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29.984,40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117.009,94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27.699,68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14.246,57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1E1E27">
              <w:rPr>
                <w:rFonts w:ascii="Calibri" w:hAnsi="Calibri" w:cs="Calibri"/>
                <w:color w:val="000000"/>
                <w:sz w:val="16"/>
                <w:szCs w:val="16"/>
              </w:rPr>
              <w:t xml:space="preserve"> € 27.591,41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  </w:t>
            </w:r>
            <w:r w:rsidRPr="001E1E27">
              <w:rPr>
                <w:rFonts w:ascii="Calibri" w:hAnsi="Calibri" w:cs="Calibri"/>
                <w:color w:val="000000"/>
                <w:sz w:val="16"/>
                <w:szCs w:val="16"/>
              </w:rPr>
              <w:t xml:space="preserve">331.313,95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€ 852.174,40 </w:t>
            </w:r>
          </w:p>
        </w:tc>
      </w:tr>
      <w:tr w:rsidR="00D46301" w:rsidRPr="001E1E27" w:rsidTr="00D46301">
        <w:trPr>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color w:val="000000"/>
                <w:sz w:val="16"/>
                <w:szCs w:val="16"/>
              </w:rPr>
            </w:pP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059"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303"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359" w:type="dxa"/>
            <w:noWrap/>
            <w:hideMark/>
          </w:tcPr>
          <w:p w:rsidR="00D46301" w:rsidRPr="005A15E8"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b w:val="0"/>
                <w:bCs w:val="0"/>
                <w:color w:val="000000"/>
                <w:sz w:val="16"/>
                <w:szCs w:val="16"/>
              </w:rPr>
            </w:pPr>
            <w:r w:rsidRPr="001E1E27">
              <w:rPr>
                <w:rFonts w:ascii="Calibri" w:hAnsi="Calibri" w:cs="Calibri"/>
                <w:b w:val="0"/>
                <w:bCs w:val="0"/>
                <w:color w:val="000000"/>
                <w:sz w:val="16"/>
                <w:szCs w:val="16"/>
              </w:rPr>
              <w:t>KOSTEN TOTAAL</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 €  </w:t>
            </w:r>
            <w:r w:rsidRPr="001E1E27">
              <w:rPr>
                <w:rFonts w:ascii="Calibri" w:hAnsi="Calibri" w:cs="Calibri"/>
                <w:b/>
                <w:bCs/>
                <w:color w:val="000000"/>
                <w:sz w:val="16"/>
                <w:szCs w:val="16"/>
              </w:rPr>
              <w:t xml:space="preserve">241.360,93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 €  </w:t>
            </w:r>
            <w:r w:rsidRPr="001E1E27">
              <w:rPr>
                <w:rFonts w:ascii="Calibri" w:hAnsi="Calibri" w:cs="Calibri"/>
                <w:b/>
                <w:bCs/>
                <w:color w:val="000000"/>
                <w:sz w:val="16"/>
                <w:szCs w:val="16"/>
              </w:rPr>
              <w:t xml:space="preserve">91.677,20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149.283,87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169.393,06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1.056.889,16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w:t>
            </w:r>
            <w:r>
              <w:rPr>
                <w:rFonts w:ascii="Calibri" w:hAnsi="Calibri" w:cs="Calibri"/>
                <w:b/>
                <w:bCs/>
                <w:color w:val="000000"/>
                <w:sz w:val="16"/>
                <w:szCs w:val="16"/>
              </w:rPr>
              <w:t xml:space="preserve"> </w:t>
            </w:r>
            <w:r w:rsidRPr="001E1E27">
              <w:rPr>
                <w:rFonts w:ascii="Calibri" w:hAnsi="Calibri" w:cs="Calibri"/>
                <w:b/>
                <w:bCs/>
                <w:color w:val="000000"/>
                <w:sz w:val="16"/>
                <w:szCs w:val="16"/>
              </w:rPr>
              <w:t xml:space="preserve">279.444,97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118.843,78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1E1E27">
              <w:rPr>
                <w:rFonts w:ascii="Calibri" w:hAnsi="Calibri" w:cs="Calibri"/>
                <w:b/>
                <w:bCs/>
                <w:color w:val="000000"/>
                <w:sz w:val="16"/>
                <w:szCs w:val="16"/>
              </w:rPr>
              <w:t xml:space="preserve"> €  130.163,50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 € 2</w:t>
            </w:r>
            <w:r w:rsidRPr="001E1E27">
              <w:rPr>
                <w:rFonts w:ascii="Calibri" w:hAnsi="Calibri" w:cs="Calibri"/>
                <w:b/>
                <w:bCs/>
                <w:color w:val="000000"/>
                <w:sz w:val="16"/>
                <w:szCs w:val="16"/>
              </w:rPr>
              <w:t xml:space="preserve">13.612,09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 €  </w:t>
            </w:r>
            <w:r w:rsidRPr="001E1E27">
              <w:rPr>
                <w:rFonts w:ascii="Calibri" w:hAnsi="Calibri" w:cs="Calibri"/>
                <w:b/>
                <w:bCs/>
                <w:color w:val="000000"/>
                <w:sz w:val="16"/>
                <w:szCs w:val="16"/>
              </w:rPr>
              <w:t xml:space="preserve">438.190,71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5A15E8">
              <w:rPr>
                <w:rFonts w:ascii="Calibri" w:hAnsi="Calibri" w:cs="Calibri"/>
                <w:b/>
                <w:bCs/>
                <w:color w:val="000000"/>
                <w:sz w:val="16"/>
                <w:szCs w:val="16"/>
              </w:rPr>
              <w:t xml:space="preserve"> € 4.306.500,91 </w:t>
            </w:r>
          </w:p>
        </w:tc>
      </w:tr>
      <w:tr w:rsidR="00D46301" w:rsidRPr="001E1E27" w:rsidTr="00D46301">
        <w:trPr>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i/>
                <w:iCs/>
                <w:color w:val="000000"/>
                <w:sz w:val="16"/>
                <w:szCs w:val="16"/>
              </w:rPr>
            </w:pPr>
            <w:r w:rsidRPr="001E1E27">
              <w:rPr>
                <w:rFonts w:ascii="Calibri" w:hAnsi="Calibri" w:cs="Calibri"/>
                <w:i/>
                <w:iCs/>
                <w:color w:val="000000"/>
                <w:sz w:val="16"/>
                <w:szCs w:val="16"/>
              </w:rPr>
              <w:t>Jaarlijks onderhoud</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Pr>
                <w:rFonts w:ascii="Calibri" w:hAnsi="Calibri" w:cs="Calibri"/>
                <w:i/>
                <w:iCs/>
                <w:color w:val="000000"/>
                <w:sz w:val="16"/>
                <w:szCs w:val="16"/>
              </w:rPr>
              <w:t xml:space="preserve"> €    </w:t>
            </w:r>
            <w:r w:rsidRPr="001E1E27">
              <w:rPr>
                <w:rFonts w:ascii="Calibri" w:hAnsi="Calibri" w:cs="Calibri"/>
                <w:i/>
                <w:iCs/>
                <w:color w:val="000000"/>
                <w:sz w:val="16"/>
                <w:szCs w:val="16"/>
              </w:rPr>
              <w:t xml:space="preserve">64.593,76 </w:t>
            </w:r>
          </w:p>
        </w:tc>
        <w:tc>
          <w:tcPr>
            <w:tcW w:w="1059"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66.208,60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67.863,82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69.560,41 </w:t>
            </w:r>
          </w:p>
        </w:tc>
        <w:tc>
          <w:tcPr>
            <w:tcW w:w="1303"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71.299,42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Pr>
                <w:rFonts w:ascii="Calibri" w:hAnsi="Calibri" w:cs="Calibri"/>
                <w:i/>
                <w:iCs/>
                <w:color w:val="000000"/>
                <w:sz w:val="16"/>
                <w:szCs w:val="16"/>
              </w:rPr>
              <w:t xml:space="preserve"> €    </w:t>
            </w:r>
            <w:r w:rsidRPr="001E1E27">
              <w:rPr>
                <w:rFonts w:ascii="Calibri" w:hAnsi="Calibri" w:cs="Calibri"/>
                <w:i/>
                <w:iCs/>
                <w:color w:val="000000"/>
                <w:sz w:val="16"/>
                <w:szCs w:val="16"/>
              </w:rPr>
              <w:t xml:space="preserve">73.081,91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74.908,96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76.781,68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8.701,22 </w:t>
            </w:r>
          </w:p>
        </w:tc>
        <w:tc>
          <w:tcPr>
            <w:tcW w:w="1156" w:type="dxa"/>
            <w:noWrap/>
            <w:hideMark/>
          </w:tcPr>
          <w:p w:rsidR="00D46301" w:rsidRPr="001E1E27"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80.668,75 </w:t>
            </w:r>
          </w:p>
        </w:tc>
        <w:tc>
          <w:tcPr>
            <w:tcW w:w="1359" w:type="dxa"/>
            <w:noWrap/>
            <w:hideMark/>
          </w:tcPr>
          <w:p w:rsidR="00D46301" w:rsidRPr="005A15E8" w:rsidRDefault="00D46301" w:rsidP="00D46301">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w:t>
            </w:r>
            <w:r>
              <w:rPr>
                <w:rFonts w:ascii="Calibri" w:hAnsi="Calibri" w:cs="Calibri"/>
                <w:b/>
                <w:color w:val="000000"/>
                <w:sz w:val="16"/>
                <w:szCs w:val="16"/>
              </w:rPr>
              <w:t xml:space="preserve"> </w:t>
            </w:r>
            <w:r w:rsidRPr="005A15E8">
              <w:rPr>
                <w:rFonts w:ascii="Calibri" w:hAnsi="Calibri" w:cs="Calibri"/>
                <w:b/>
                <w:color w:val="000000"/>
                <w:sz w:val="16"/>
                <w:szCs w:val="16"/>
              </w:rPr>
              <w:t xml:space="preserve">1.282.217,93 </w:t>
            </w:r>
          </w:p>
        </w:tc>
      </w:tr>
      <w:tr w:rsidR="00D46301" w:rsidRPr="001E1E27" w:rsidTr="00D4630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73" w:type="dxa"/>
          </w:tcPr>
          <w:p w:rsidR="00D46301" w:rsidRPr="001E1E27" w:rsidRDefault="00D46301" w:rsidP="00D46301">
            <w:pPr>
              <w:spacing w:line="240" w:lineRule="auto"/>
              <w:jc w:val="left"/>
              <w:rPr>
                <w:rFonts w:ascii="Calibri" w:hAnsi="Calibri" w:cs="Calibri"/>
                <w:i/>
                <w:iCs/>
                <w:color w:val="000000"/>
                <w:sz w:val="16"/>
                <w:szCs w:val="16"/>
              </w:rPr>
            </w:pPr>
            <w:r w:rsidRPr="001E1E27">
              <w:rPr>
                <w:rFonts w:ascii="Calibri" w:hAnsi="Calibri" w:cs="Calibri"/>
                <w:i/>
                <w:iCs/>
                <w:color w:val="000000"/>
                <w:sz w:val="16"/>
                <w:szCs w:val="16"/>
              </w:rPr>
              <w:t>Planmatig onderhoud</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Pr>
                <w:rFonts w:ascii="Calibri" w:hAnsi="Calibri" w:cs="Calibri"/>
                <w:i/>
                <w:iCs/>
                <w:color w:val="000000"/>
                <w:sz w:val="16"/>
                <w:szCs w:val="16"/>
              </w:rPr>
              <w:t xml:space="preserve"> €  </w:t>
            </w:r>
            <w:r w:rsidRPr="001E1E27">
              <w:rPr>
                <w:rFonts w:ascii="Calibri" w:hAnsi="Calibri" w:cs="Calibri"/>
                <w:i/>
                <w:iCs/>
                <w:color w:val="000000"/>
                <w:sz w:val="16"/>
                <w:szCs w:val="16"/>
              </w:rPr>
              <w:t xml:space="preserve">176.767,17 </w:t>
            </w:r>
          </w:p>
        </w:tc>
        <w:tc>
          <w:tcPr>
            <w:tcW w:w="1059"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25.468,59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81.420,06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99.832,65 </w:t>
            </w:r>
          </w:p>
        </w:tc>
        <w:tc>
          <w:tcPr>
            <w:tcW w:w="1303"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985.589,74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Pr>
                <w:rFonts w:ascii="Calibri" w:hAnsi="Calibri" w:cs="Calibri"/>
                <w:i/>
                <w:iCs/>
                <w:color w:val="000000"/>
                <w:sz w:val="16"/>
                <w:szCs w:val="16"/>
              </w:rPr>
              <w:t xml:space="preserve"> €  </w:t>
            </w:r>
            <w:r w:rsidRPr="001E1E27">
              <w:rPr>
                <w:rFonts w:ascii="Calibri" w:hAnsi="Calibri" w:cs="Calibri"/>
                <w:i/>
                <w:iCs/>
                <w:color w:val="000000"/>
                <w:sz w:val="16"/>
                <w:szCs w:val="16"/>
              </w:rPr>
              <w:t xml:space="preserve">206.363,06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43.934,82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sidRPr="001E1E27">
              <w:rPr>
                <w:rFonts w:ascii="Calibri" w:hAnsi="Calibri" w:cs="Calibri"/>
                <w:i/>
                <w:iCs/>
                <w:color w:val="000000"/>
                <w:sz w:val="16"/>
                <w:szCs w:val="16"/>
              </w:rPr>
              <w:t xml:space="preserve"> €   53.381,82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Pr>
                <w:rFonts w:ascii="Calibri" w:hAnsi="Calibri" w:cs="Calibri"/>
                <w:i/>
                <w:iCs/>
                <w:color w:val="000000"/>
                <w:sz w:val="16"/>
                <w:szCs w:val="16"/>
              </w:rPr>
              <w:t xml:space="preserve"> €  </w:t>
            </w:r>
            <w:r w:rsidRPr="001E1E27">
              <w:rPr>
                <w:rFonts w:ascii="Calibri" w:hAnsi="Calibri" w:cs="Calibri"/>
                <w:i/>
                <w:iCs/>
                <w:color w:val="000000"/>
                <w:sz w:val="16"/>
                <w:szCs w:val="16"/>
              </w:rPr>
              <w:t xml:space="preserve">134.910,87 </w:t>
            </w:r>
          </w:p>
        </w:tc>
        <w:tc>
          <w:tcPr>
            <w:tcW w:w="1156" w:type="dxa"/>
            <w:noWrap/>
            <w:hideMark/>
          </w:tcPr>
          <w:p w:rsidR="00D46301" w:rsidRPr="001E1E27"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6"/>
                <w:szCs w:val="16"/>
              </w:rPr>
            </w:pPr>
            <w:r>
              <w:rPr>
                <w:rFonts w:ascii="Calibri" w:hAnsi="Calibri" w:cs="Calibri"/>
                <w:i/>
                <w:iCs/>
                <w:color w:val="000000"/>
                <w:sz w:val="16"/>
                <w:szCs w:val="16"/>
              </w:rPr>
              <w:t xml:space="preserve"> €  </w:t>
            </w:r>
            <w:r w:rsidRPr="001E1E27">
              <w:rPr>
                <w:rFonts w:ascii="Calibri" w:hAnsi="Calibri" w:cs="Calibri"/>
                <w:i/>
                <w:iCs/>
                <w:color w:val="000000"/>
                <w:sz w:val="16"/>
                <w:szCs w:val="16"/>
              </w:rPr>
              <w:t xml:space="preserve">357.521,95 </w:t>
            </w:r>
          </w:p>
        </w:tc>
        <w:tc>
          <w:tcPr>
            <w:tcW w:w="1359" w:type="dxa"/>
            <w:noWrap/>
            <w:hideMark/>
          </w:tcPr>
          <w:p w:rsidR="00D46301" w:rsidRPr="005A15E8" w:rsidRDefault="00D46301" w:rsidP="00D46301">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rPr>
            </w:pPr>
            <w:r w:rsidRPr="005A15E8">
              <w:rPr>
                <w:rFonts w:ascii="Calibri" w:hAnsi="Calibri" w:cs="Calibri"/>
                <w:b/>
                <w:color w:val="000000"/>
                <w:sz w:val="16"/>
                <w:szCs w:val="16"/>
              </w:rPr>
              <w:t xml:space="preserve"> €  3.024.282,98 </w:t>
            </w:r>
          </w:p>
        </w:tc>
      </w:tr>
    </w:tbl>
    <w:p w:rsidR="00D46301" w:rsidRPr="00D46301" w:rsidRDefault="00D46301" w:rsidP="00D46301">
      <w:pPr>
        <w:rPr>
          <w:rFonts w:ascii="Calibri" w:hAnsi="Calibri"/>
          <w:sz w:val="22"/>
          <w:szCs w:val="22"/>
        </w:rPr>
      </w:pPr>
    </w:p>
    <w:sectPr w:rsidR="00D46301" w:rsidRPr="00D46301" w:rsidSect="00D46301">
      <w:pgSz w:w="16838" w:h="11906" w:orient="landscape" w:code="9"/>
      <w:pgMar w:top="1418" w:right="2835"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778" w:rsidRDefault="00995778">
      <w:r>
        <w:separator/>
      </w:r>
    </w:p>
  </w:endnote>
  <w:endnote w:type="continuationSeparator" w:id="0">
    <w:p w:rsidR="00995778" w:rsidRDefault="0099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38" w:rsidRDefault="006E4638" w:rsidP="001B2BC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6E4638" w:rsidRDefault="006E46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38" w:rsidRPr="000767C4" w:rsidRDefault="006E4638" w:rsidP="001B2BCB">
    <w:pPr>
      <w:pStyle w:val="Voettekst"/>
      <w:framePr w:wrap="around" w:vAnchor="text" w:hAnchor="margin" w:xAlign="center" w:y="1"/>
      <w:rPr>
        <w:rStyle w:val="Paginanummer"/>
        <w:color w:val="A6A6A6" w:themeColor="background1" w:themeShade="A6"/>
      </w:rPr>
    </w:pPr>
    <w:r w:rsidRPr="000767C4">
      <w:rPr>
        <w:rStyle w:val="Paginanummer"/>
        <w:color w:val="A6A6A6" w:themeColor="background1" w:themeShade="A6"/>
      </w:rPr>
      <w:fldChar w:fldCharType="begin"/>
    </w:r>
    <w:r w:rsidRPr="000767C4">
      <w:rPr>
        <w:rStyle w:val="Paginanummer"/>
        <w:color w:val="A6A6A6" w:themeColor="background1" w:themeShade="A6"/>
      </w:rPr>
      <w:instrText xml:space="preserve">PAGE  </w:instrText>
    </w:r>
    <w:r w:rsidRPr="000767C4">
      <w:rPr>
        <w:rStyle w:val="Paginanummer"/>
        <w:color w:val="A6A6A6" w:themeColor="background1" w:themeShade="A6"/>
      </w:rPr>
      <w:fldChar w:fldCharType="separate"/>
    </w:r>
    <w:r w:rsidR="00AD7AE6">
      <w:rPr>
        <w:rStyle w:val="Paginanummer"/>
        <w:noProof/>
        <w:color w:val="A6A6A6" w:themeColor="background1" w:themeShade="A6"/>
      </w:rPr>
      <w:t>1</w:t>
    </w:r>
    <w:r w:rsidRPr="000767C4">
      <w:rPr>
        <w:rStyle w:val="Paginanummer"/>
        <w:color w:val="A6A6A6" w:themeColor="background1" w:themeShade="A6"/>
      </w:rPr>
      <w:fldChar w:fldCharType="end"/>
    </w:r>
  </w:p>
  <w:p w:rsidR="006E4638" w:rsidRPr="000767C4" w:rsidRDefault="006E4638" w:rsidP="000767C4">
    <w:pPr>
      <w:pStyle w:val="Voettekst"/>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778" w:rsidRDefault="00995778">
      <w:r>
        <w:separator/>
      </w:r>
    </w:p>
  </w:footnote>
  <w:footnote w:type="continuationSeparator" w:id="0">
    <w:p w:rsidR="00995778" w:rsidRDefault="0099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38" w:rsidRPr="00F11174" w:rsidRDefault="006E4638" w:rsidP="001B2BCB">
    <w:pPr>
      <w:pStyle w:val="Koptekst"/>
      <w:tabs>
        <w:tab w:val="clear" w:pos="4536"/>
        <w:tab w:val="clear" w:pos="9072"/>
        <w:tab w:val="left" w:pos="900"/>
      </w:tabs>
      <w:rPr>
        <w:rFonts w:ascii="Calibri" w:hAnsi="Calibri" w:cs="Calibri"/>
        <w:b/>
        <w:sz w:val="24"/>
        <w:szCs w:val="24"/>
      </w:rPr>
    </w:pPr>
    <w:bookmarkStart w:id="6" w:name="_MacBuGuideStaticData_1507H"/>
    <w:r w:rsidRPr="00F11174">
      <w:rPr>
        <w:rFonts w:ascii="Calibri" w:hAnsi="Calibri" w:cs="Calibri"/>
        <w:b/>
        <w:sz w:val="24"/>
        <w:szCs w:val="24"/>
      </w:rPr>
      <w:drawing>
        <wp:anchor distT="0" distB="0" distL="114300" distR="114300" simplePos="0" relativeHeight="251659264" behindDoc="0" locked="0" layoutInCell="1" allowOverlap="1" wp14:anchorId="464D5B33" wp14:editId="5019AA13">
          <wp:simplePos x="0" y="0"/>
          <wp:positionH relativeFrom="page">
            <wp:posOffset>4963160</wp:posOffset>
          </wp:positionH>
          <wp:positionV relativeFrom="page">
            <wp:posOffset>368300</wp:posOffset>
          </wp:positionV>
          <wp:extent cx="2247900" cy="850900"/>
          <wp:effectExtent l="0" t="0" r="12700" b="1270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174">
      <w:rPr>
        <w:rFonts w:ascii="Calibri" w:hAnsi="Calibri" w:cs="Calibri"/>
        <w:b/>
        <w:sz w:val="24"/>
        <w:szCs w:val="24"/>
      </w:rPr>
      <mc:AlternateContent>
        <mc:Choice Requires="wps">
          <w:drawing>
            <wp:anchor distT="0" distB="0" distL="114300" distR="114300" simplePos="0" relativeHeight="251657216" behindDoc="0" locked="0" layoutInCell="0" allowOverlap="1" wp14:anchorId="32768670" wp14:editId="08105361">
              <wp:simplePos x="0" y="0"/>
              <wp:positionH relativeFrom="page">
                <wp:posOffset>3823335</wp:posOffset>
              </wp:positionH>
              <wp:positionV relativeFrom="page">
                <wp:posOffset>345440</wp:posOffset>
              </wp:positionV>
              <wp:extent cx="0" cy="0"/>
              <wp:effectExtent l="13335" t="21590" r="15240" b="16510"/>
              <wp:wrapTopAndBottom/>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F3A6" id="Line 49"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05pt,27.2pt" to="301.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" o:allowincell="f" strokecolor="gray" strokeweight="2pt">
              <w10:wrap type="topAndBottom" anchorx="page" anchory="page"/>
            </v:line>
          </w:pict>
        </mc:Fallback>
      </mc:AlternateContent>
    </w:r>
    <w:r w:rsidR="00F11174" w:rsidRPr="00F11174">
      <w:rPr>
        <w:rFonts w:ascii="Calibri" w:hAnsi="Calibri" w:cs="Calibri"/>
        <w:b/>
        <w:sz w:val="24"/>
        <w:szCs w:val="24"/>
      </w:rPr>
      <w:t xml:space="preserve">AB20231026 </w:t>
    </w:r>
    <w:r w:rsidR="005B5ED6">
      <w:rPr>
        <w:rFonts w:ascii="Calibri" w:hAnsi="Calibri" w:cs="Calibri"/>
        <w:b/>
        <w:sz w:val="24"/>
        <w:szCs w:val="24"/>
      </w:rPr>
      <w:t>-</w:t>
    </w:r>
    <w:r w:rsidR="00F11174" w:rsidRPr="00F11174">
      <w:rPr>
        <w:rFonts w:ascii="Calibri" w:hAnsi="Calibri" w:cs="Calibri"/>
        <w:b/>
        <w:sz w:val="24"/>
        <w:szCs w:val="24"/>
      </w:rPr>
      <w:t xml:space="preserve"> </w:t>
    </w:r>
    <w:r w:rsidR="00D83A33">
      <w:rPr>
        <w:rFonts w:ascii="Calibri" w:hAnsi="Calibri" w:cs="Calibri"/>
        <w:b/>
        <w:sz w:val="24"/>
        <w:szCs w:val="24"/>
      </w:rPr>
      <w:t>3a -</w:t>
    </w:r>
  </w:p>
  <w:p w:rsidR="006E4638" w:rsidRDefault="006E4638">
    <w:pPr>
      <w:pStyle w:val="Koptekst"/>
    </w:pPr>
    <w:r>
      <w:rPr>
        <w:sz w:val="22"/>
      </w:rPr>
      <mc:AlternateContent>
        <mc:Choice Requires="wps">
          <w:drawing>
            <wp:anchor distT="0" distB="0" distL="114300" distR="114300" simplePos="0" relativeHeight="251661312" behindDoc="0" locked="0" layoutInCell="1" allowOverlap="1" wp14:anchorId="755B57CC" wp14:editId="1CCC859D">
              <wp:simplePos x="0" y="0"/>
              <wp:positionH relativeFrom="page">
                <wp:posOffset>900430</wp:posOffset>
              </wp:positionH>
              <wp:positionV relativeFrom="page">
                <wp:posOffset>732155</wp:posOffset>
              </wp:positionV>
              <wp:extent cx="2818130" cy="787400"/>
              <wp:effectExtent l="0" t="0" r="1270" b="0"/>
              <wp:wrapThrough wrapText="bothSides">
                <wp:wrapPolygon edited="0">
                  <wp:start x="0" y="0"/>
                  <wp:lineTo x="0" y="20903"/>
                  <wp:lineTo x="21415" y="20903"/>
                  <wp:lineTo x="21415"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2818130" cy="78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6E4638" w:rsidRPr="00D312F4" w:rsidRDefault="006E4638" w:rsidP="000767C4">
                          <w:pPr>
                            <w:pStyle w:val="Koptekst"/>
                            <w:rPr>
                              <w:color w:val="009FE3"/>
                            </w:rPr>
                          </w:pPr>
                          <w:r w:rsidRPr="00D312F4">
                            <w:rPr>
                              <w:rFonts w:ascii="Calibri" w:hAnsi="Calibri"/>
                              <w:b/>
                              <w:color w:val="009FE3"/>
                              <w:sz w:val="36"/>
                              <w:szCs w:val="36"/>
                            </w:rPr>
                            <w:t>AB-VOORSTEL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57CC" id="_x0000_t202" coordsize="21600,21600" o:spt="202" path="m,l,21600r21600,l21600,xe">
              <v:stroke joinstyle="miter"/>
              <v:path gradientshapeok="t" o:connecttype="rect"/>
            </v:shapetype>
            <v:shape id="Tekstvak 5" o:spid="_x0000_s1026" type="#_x0000_t202" style="position:absolute;left:0;text-align:left;margin-left:70.9pt;margin-top:57.65pt;width:221.9pt;height: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" filled="f" stroked="f">
              <v:textbox inset="0,0,0,0">
                <w:txbxContent>
                  <w:p w:rsidR="006E4638" w:rsidRPr="00D312F4" w:rsidRDefault="006E4638" w:rsidP="000767C4">
                    <w:pPr>
                      <w:pStyle w:val="Koptekst"/>
                      <w:rPr>
                        <w:color w:val="009FE3"/>
                      </w:rPr>
                    </w:pPr>
                    <w:r w:rsidRPr="00D312F4">
                      <w:rPr>
                        <w:rFonts w:ascii="Calibri" w:hAnsi="Calibri"/>
                        <w:b/>
                        <w:color w:val="009FE3"/>
                        <w:sz w:val="36"/>
                        <w:szCs w:val="36"/>
                      </w:rPr>
                      <w:t>AB-VOORSTEL</w:t>
                    </w:r>
                  </w:p>
                </w:txbxContent>
              </v:textbox>
              <w10:wrap type="through" anchorx="page" anchory="page"/>
            </v:shape>
          </w:pict>
        </mc:Fallback>
      </mc:AlternateContent>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82399"/>
    <w:multiLevelType w:val="hybridMultilevel"/>
    <w:tmpl w:val="B210A2B4"/>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2243D6E"/>
    <w:multiLevelType w:val="hybridMultilevel"/>
    <w:tmpl w:val="E1BC6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2D7A92"/>
    <w:multiLevelType w:val="hybridMultilevel"/>
    <w:tmpl w:val="D59689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0F42441"/>
    <w:multiLevelType w:val="hybridMultilevel"/>
    <w:tmpl w:val="1CFA169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024BE5"/>
    <w:multiLevelType w:val="hybridMultilevel"/>
    <w:tmpl w:val="7E6EC3FA"/>
    <w:lvl w:ilvl="0" w:tplc="BA5A94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1F68FC"/>
    <w:multiLevelType w:val="multilevel"/>
    <w:tmpl w:val="4888E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A34984"/>
    <w:multiLevelType w:val="hybridMultilevel"/>
    <w:tmpl w:val="4710B228"/>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FEA680B"/>
    <w:multiLevelType w:val="hybridMultilevel"/>
    <w:tmpl w:val="9D2E738A"/>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0375BAB"/>
    <w:multiLevelType w:val="hybridMultilevel"/>
    <w:tmpl w:val="DA241B38"/>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2D935BD"/>
    <w:multiLevelType w:val="multilevel"/>
    <w:tmpl w:val="482C3E28"/>
    <w:styleLink w:val="1ai"/>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upperRoman"/>
      <w:lvlText w:val="%3"/>
      <w:lvlJc w:val="left"/>
      <w:pPr>
        <w:tabs>
          <w:tab w:val="num" w:pos="1080"/>
        </w:tabs>
        <w:ind w:left="1080" w:hanging="360"/>
      </w:pPr>
      <w:rPr>
        <w:rFonts w:ascii="Arial" w:hAnsi="Arial" w:hint="default"/>
        <w:color w:val="auto"/>
        <w:sz w:val="20"/>
      </w:rPr>
    </w:lvl>
    <w:lvl w:ilvl="3">
      <w:start w:val="1"/>
      <w:numFmt w:val="lowerRoman"/>
      <w:lvlText w:val="%4"/>
      <w:lvlJc w:val="left"/>
      <w:pPr>
        <w:tabs>
          <w:tab w:val="num" w:pos="1440"/>
        </w:tabs>
        <w:ind w:left="1440" w:hanging="360"/>
      </w:pPr>
      <w:rPr>
        <w:rFonts w:ascii="Arial" w:hAnsi="Aria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0"/>
  </w:num>
  <w:num w:numId="4">
    <w:abstractNumId w:val="8"/>
  </w:num>
  <w:num w:numId="5">
    <w:abstractNumId w:val="3"/>
  </w:num>
  <w:num w:numId="6">
    <w:abstractNumId w:val="2"/>
  </w:num>
  <w:num w:numId="7">
    <w:abstractNumId w:val="6"/>
  </w:num>
  <w:num w:numId="8">
    <w:abstractNumId w:val="4"/>
  </w:num>
  <w:num w:numId="9">
    <w:abstractNumId w:val="1"/>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78"/>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62580F"/>
    <w:rsid w:val="00046949"/>
    <w:rsid w:val="000767C4"/>
    <w:rsid w:val="00084012"/>
    <w:rsid w:val="00092FCC"/>
    <w:rsid w:val="000A01FC"/>
    <w:rsid w:val="000B0BBD"/>
    <w:rsid w:val="000B4C5F"/>
    <w:rsid w:val="000B538D"/>
    <w:rsid w:val="000D4E5E"/>
    <w:rsid w:val="000E3CF5"/>
    <w:rsid w:val="001429FB"/>
    <w:rsid w:val="00161555"/>
    <w:rsid w:val="00176966"/>
    <w:rsid w:val="00185C1F"/>
    <w:rsid w:val="00186BDD"/>
    <w:rsid w:val="0019277B"/>
    <w:rsid w:val="001B2BCB"/>
    <w:rsid w:val="001D2E0E"/>
    <w:rsid w:val="001D5990"/>
    <w:rsid w:val="001D63D2"/>
    <w:rsid w:val="001E0BF5"/>
    <w:rsid w:val="001F1FB2"/>
    <w:rsid w:val="001F37FA"/>
    <w:rsid w:val="001F45C7"/>
    <w:rsid w:val="001F7EC2"/>
    <w:rsid w:val="0020425F"/>
    <w:rsid w:val="00217999"/>
    <w:rsid w:val="00227AF2"/>
    <w:rsid w:val="0025796E"/>
    <w:rsid w:val="00262AD5"/>
    <w:rsid w:val="00271FF2"/>
    <w:rsid w:val="00273048"/>
    <w:rsid w:val="0028472F"/>
    <w:rsid w:val="00287248"/>
    <w:rsid w:val="002A02AF"/>
    <w:rsid w:val="002A4CA8"/>
    <w:rsid w:val="002B004F"/>
    <w:rsid w:val="002B2BA3"/>
    <w:rsid w:val="002C5A4D"/>
    <w:rsid w:val="002F316D"/>
    <w:rsid w:val="002F57CC"/>
    <w:rsid w:val="00312A84"/>
    <w:rsid w:val="00323626"/>
    <w:rsid w:val="00327EED"/>
    <w:rsid w:val="003351F2"/>
    <w:rsid w:val="0034578F"/>
    <w:rsid w:val="0035149E"/>
    <w:rsid w:val="0039222C"/>
    <w:rsid w:val="0039224B"/>
    <w:rsid w:val="003A0134"/>
    <w:rsid w:val="003A1F7F"/>
    <w:rsid w:val="003B6336"/>
    <w:rsid w:val="003B702C"/>
    <w:rsid w:val="003C1AE6"/>
    <w:rsid w:val="003C5606"/>
    <w:rsid w:val="003F736D"/>
    <w:rsid w:val="003F7A8E"/>
    <w:rsid w:val="00401BAD"/>
    <w:rsid w:val="00406204"/>
    <w:rsid w:val="00407A9E"/>
    <w:rsid w:val="00432E75"/>
    <w:rsid w:val="00442C11"/>
    <w:rsid w:val="00451D3B"/>
    <w:rsid w:val="004540BC"/>
    <w:rsid w:val="00455228"/>
    <w:rsid w:val="00457276"/>
    <w:rsid w:val="00463E49"/>
    <w:rsid w:val="00466558"/>
    <w:rsid w:val="00466EF7"/>
    <w:rsid w:val="00487566"/>
    <w:rsid w:val="004B0856"/>
    <w:rsid w:val="004C7301"/>
    <w:rsid w:val="004D6A53"/>
    <w:rsid w:val="004F2013"/>
    <w:rsid w:val="004F5BE4"/>
    <w:rsid w:val="0051029D"/>
    <w:rsid w:val="0051283F"/>
    <w:rsid w:val="0051740A"/>
    <w:rsid w:val="00524E86"/>
    <w:rsid w:val="00557252"/>
    <w:rsid w:val="00570618"/>
    <w:rsid w:val="00592DA0"/>
    <w:rsid w:val="005A76E7"/>
    <w:rsid w:val="005B5ED6"/>
    <w:rsid w:val="005D1273"/>
    <w:rsid w:val="005D3820"/>
    <w:rsid w:val="005E7B5F"/>
    <w:rsid w:val="005F49F4"/>
    <w:rsid w:val="005F7AF2"/>
    <w:rsid w:val="00606ABE"/>
    <w:rsid w:val="00607E2F"/>
    <w:rsid w:val="00617296"/>
    <w:rsid w:val="00625510"/>
    <w:rsid w:val="0062580F"/>
    <w:rsid w:val="00657E1C"/>
    <w:rsid w:val="00660391"/>
    <w:rsid w:val="00670A82"/>
    <w:rsid w:val="00673DAE"/>
    <w:rsid w:val="0069576D"/>
    <w:rsid w:val="006B1DA3"/>
    <w:rsid w:val="006B41CB"/>
    <w:rsid w:val="006B54E4"/>
    <w:rsid w:val="006C1B10"/>
    <w:rsid w:val="006C1D84"/>
    <w:rsid w:val="006C6AC3"/>
    <w:rsid w:val="006D3D1B"/>
    <w:rsid w:val="006E4638"/>
    <w:rsid w:val="006E75BE"/>
    <w:rsid w:val="006E7D3E"/>
    <w:rsid w:val="006F02E4"/>
    <w:rsid w:val="006F1DA1"/>
    <w:rsid w:val="006F44E9"/>
    <w:rsid w:val="00705343"/>
    <w:rsid w:val="00706CA4"/>
    <w:rsid w:val="00711046"/>
    <w:rsid w:val="00722806"/>
    <w:rsid w:val="00725221"/>
    <w:rsid w:val="00731DDC"/>
    <w:rsid w:val="00743AE3"/>
    <w:rsid w:val="00752288"/>
    <w:rsid w:val="00757558"/>
    <w:rsid w:val="00761AB0"/>
    <w:rsid w:val="00764CB9"/>
    <w:rsid w:val="00770119"/>
    <w:rsid w:val="007A307C"/>
    <w:rsid w:val="007C5F47"/>
    <w:rsid w:val="00802CD0"/>
    <w:rsid w:val="00824BE8"/>
    <w:rsid w:val="00832C6F"/>
    <w:rsid w:val="00834FDE"/>
    <w:rsid w:val="008544BD"/>
    <w:rsid w:val="00855F2C"/>
    <w:rsid w:val="00856F9F"/>
    <w:rsid w:val="00865801"/>
    <w:rsid w:val="008A3589"/>
    <w:rsid w:val="008B3381"/>
    <w:rsid w:val="008C7CE5"/>
    <w:rsid w:val="008D7F61"/>
    <w:rsid w:val="008E2FF9"/>
    <w:rsid w:val="008E3F88"/>
    <w:rsid w:val="008F2A2A"/>
    <w:rsid w:val="008F5666"/>
    <w:rsid w:val="00901044"/>
    <w:rsid w:val="00901DA5"/>
    <w:rsid w:val="00906E19"/>
    <w:rsid w:val="009117CE"/>
    <w:rsid w:val="00913DCC"/>
    <w:rsid w:val="00917CC7"/>
    <w:rsid w:val="00920DA1"/>
    <w:rsid w:val="00952044"/>
    <w:rsid w:val="00961530"/>
    <w:rsid w:val="009618F7"/>
    <w:rsid w:val="00966FE9"/>
    <w:rsid w:val="009730F3"/>
    <w:rsid w:val="00981E8C"/>
    <w:rsid w:val="00991CCC"/>
    <w:rsid w:val="00995778"/>
    <w:rsid w:val="00996290"/>
    <w:rsid w:val="009A53A4"/>
    <w:rsid w:val="009A6299"/>
    <w:rsid w:val="009B39F3"/>
    <w:rsid w:val="009B68A7"/>
    <w:rsid w:val="009C4770"/>
    <w:rsid w:val="009C7247"/>
    <w:rsid w:val="009D2B88"/>
    <w:rsid w:val="009D6985"/>
    <w:rsid w:val="009F7FFC"/>
    <w:rsid w:val="00A05651"/>
    <w:rsid w:val="00A22A49"/>
    <w:rsid w:val="00A26A85"/>
    <w:rsid w:val="00A3730F"/>
    <w:rsid w:val="00A41E61"/>
    <w:rsid w:val="00A44A28"/>
    <w:rsid w:val="00A63616"/>
    <w:rsid w:val="00A84CB6"/>
    <w:rsid w:val="00AC7815"/>
    <w:rsid w:val="00AD47E6"/>
    <w:rsid w:val="00AD7AE6"/>
    <w:rsid w:val="00B00BCB"/>
    <w:rsid w:val="00B031A0"/>
    <w:rsid w:val="00B05B4E"/>
    <w:rsid w:val="00B171CE"/>
    <w:rsid w:val="00B307D2"/>
    <w:rsid w:val="00B45B19"/>
    <w:rsid w:val="00B7429D"/>
    <w:rsid w:val="00B81838"/>
    <w:rsid w:val="00B8723F"/>
    <w:rsid w:val="00B91393"/>
    <w:rsid w:val="00BC52A1"/>
    <w:rsid w:val="00BC568B"/>
    <w:rsid w:val="00BF5931"/>
    <w:rsid w:val="00C04445"/>
    <w:rsid w:val="00C1036D"/>
    <w:rsid w:val="00C15140"/>
    <w:rsid w:val="00C162F1"/>
    <w:rsid w:val="00C22945"/>
    <w:rsid w:val="00C461C0"/>
    <w:rsid w:val="00C53153"/>
    <w:rsid w:val="00C802C5"/>
    <w:rsid w:val="00C82AEC"/>
    <w:rsid w:val="00C87629"/>
    <w:rsid w:val="00C87FBA"/>
    <w:rsid w:val="00C952AA"/>
    <w:rsid w:val="00CA6E31"/>
    <w:rsid w:val="00CC114C"/>
    <w:rsid w:val="00CC41E2"/>
    <w:rsid w:val="00CC68C9"/>
    <w:rsid w:val="00CE549C"/>
    <w:rsid w:val="00CE575D"/>
    <w:rsid w:val="00CF378E"/>
    <w:rsid w:val="00CF60EB"/>
    <w:rsid w:val="00CF6EFA"/>
    <w:rsid w:val="00D11D49"/>
    <w:rsid w:val="00D14B16"/>
    <w:rsid w:val="00D23355"/>
    <w:rsid w:val="00D30D12"/>
    <w:rsid w:val="00D312F4"/>
    <w:rsid w:val="00D31A88"/>
    <w:rsid w:val="00D34220"/>
    <w:rsid w:val="00D41B1A"/>
    <w:rsid w:val="00D46301"/>
    <w:rsid w:val="00D6504C"/>
    <w:rsid w:val="00D67029"/>
    <w:rsid w:val="00D778AD"/>
    <w:rsid w:val="00D83A33"/>
    <w:rsid w:val="00D861E8"/>
    <w:rsid w:val="00DC656F"/>
    <w:rsid w:val="00DC74E1"/>
    <w:rsid w:val="00DD4F4C"/>
    <w:rsid w:val="00DE09A2"/>
    <w:rsid w:val="00DE1B96"/>
    <w:rsid w:val="00DF6EEB"/>
    <w:rsid w:val="00E20822"/>
    <w:rsid w:val="00E25D76"/>
    <w:rsid w:val="00E47423"/>
    <w:rsid w:val="00E601BD"/>
    <w:rsid w:val="00E75E54"/>
    <w:rsid w:val="00E86089"/>
    <w:rsid w:val="00E90981"/>
    <w:rsid w:val="00E917A8"/>
    <w:rsid w:val="00E94E3A"/>
    <w:rsid w:val="00EA0155"/>
    <w:rsid w:val="00EA30C2"/>
    <w:rsid w:val="00EC31B3"/>
    <w:rsid w:val="00EC5C2A"/>
    <w:rsid w:val="00ED05B3"/>
    <w:rsid w:val="00EE416C"/>
    <w:rsid w:val="00EE4915"/>
    <w:rsid w:val="00EE5DEE"/>
    <w:rsid w:val="00F102F3"/>
    <w:rsid w:val="00F10B74"/>
    <w:rsid w:val="00F11174"/>
    <w:rsid w:val="00F23087"/>
    <w:rsid w:val="00F53F56"/>
    <w:rsid w:val="00F57027"/>
    <w:rsid w:val="00F64BC9"/>
    <w:rsid w:val="00F665A2"/>
    <w:rsid w:val="00F7420E"/>
    <w:rsid w:val="00F84EFB"/>
    <w:rsid w:val="00F8761F"/>
    <w:rsid w:val="00F87D0B"/>
    <w:rsid w:val="00FB1B50"/>
    <w:rsid w:val="00FC4178"/>
    <w:rsid w:val="00FD1C38"/>
    <w:rsid w:val="00FE231E"/>
    <w:rsid w:val="00FF75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64973C-3C13-4193-8DC6-458657A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796E"/>
    <w:pPr>
      <w:spacing w:line="260" w:lineRule="atLeast"/>
      <w:jc w:val="both"/>
    </w:pPr>
    <w:rPr>
      <w:rFonts w:ascii="Arial" w:hAnsi="Arial"/>
      <w:szCs w:val="24"/>
    </w:rPr>
  </w:style>
  <w:style w:type="paragraph" w:styleId="Kop2">
    <w:name w:val="heading 2"/>
    <w:basedOn w:val="Standaard"/>
    <w:next w:val="Standaard"/>
    <w:qFormat/>
    <w:rsid w:val="001B2BCB"/>
    <w:pPr>
      <w:keepNext/>
      <w:tabs>
        <w:tab w:val="left" w:pos="567"/>
        <w:tab w:val="num" w:pos="792"/>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40" w:line="280" w:lineRule="atLeast"/>
      <w:jc w:val="left"/>
      <w:outlineLvl w:val="1"/>
    </w:pPr>
    <w:rPr>
      <w:b/>
      <w:sz w:val="24"/>
      <w:szCs w:val="20"/>
    </w:rPr>
  </w:style>
  <w:style w:type="paragraph" w:styleId="Kop3">
    <w:name w:val="heading 3"/>
    <w:basedOn w:val="Standaard"/>
    <w:next w:val="Standaard"/>
    <w:qFormat/>
    <w:rsid w:val="00996290"/>
    <w:pPr>
      <w:keepNext/>
      <w:spacing w:before="240" w:after="60"/>
      <w:outlineLvl w:val="2"/>
    </w:pPr>
    <w:rPr>
      <w:rFonts w:cs="Arial"/>
      <w:b/>
      <w:bCs/>
      <w:sz w:val="24"/>
      <w:szCs w:val="26"/>
    </w:rPr>
  </w:style>
  <w:style w:type="paragraph" w:styleId="Kop7">
    <w:name w:val="heading 7"/>
    <w:basedOn w:val="Standaard"/>
    <w:next w:val="Standaard"/>
    <w:qFormat/>
    <w:rsid w:val="001B2BC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outlineLvl w:val="6"/>
    </w:pPr>
    <w:rPr>
      <w:b/>
      <w:sz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C5C2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96290"/>
    <w:pPr>
      <w:tabs>
        <w:tab w:val="center" w:pos="4536"/>
        <w:tab w:val="right" w:pos="9072"/>
      </w:tabs>
    </w:pPr>
    <w:rPr>
      <w:noProof/>
      <w:szCs w:val="20"/>
    </w:rPr>
  </w:style>
  <w:style w:type="numbering" w:styleId="1ai">
    <w:name w:val="Outline List 1"/>
    <w:basedOn w:val="Geenlijst"/>
    <w:rsid w:val="00966FE9"/>
    <w:pPr>
      <w:numPr>
        <w:numId w:val="1"/>
      </w:numPr>
    </w:pPr>
  </w:style>
  <w:style w:type="paragraph" w:customStyle="1" w:styleId="paragraafkop">
    <w:name w:val="paragraafkop"/>
    <w:basedOn w:val="Standaard"/>
    <w:next w:val="Standaard"/>
    <w:rsid w:val="00996290"/>
    <w:rPr>
      <w:b/>
      <w:szCs w:val="20"/>
    </w:rPr>
  </w:style>
  <w:style w:type="table" w:customStyle="1" w:styleId="Tabelrastertabel">
    <w:name w:val="Tabelraster tabel"/>
    <w:basedOn w:val="Standaardtabel"/>
    <w:rsid w:val="00996290"/>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opmaak">
    <w:name w:val="Tabelraster opmaak"/>
    <w:basedOn w:val="Tabelrastertabel"/>
    <w:rsid w:val="00996290"/>
    <w:tblPr>
      <w:tblCellMar>
        <w:left w:w="0" w:type="dxa"/>
        <w:right w:w="0" w:type="dxa"/>
      </w:tblCellMar>
    </w:tblPr>
  </w:style>
  <w:style w:type="paragraph" w:styleId="Voettekst">
    <w:name w:val="footer"/>
    <w:basedOn w:val="Standaard"/>
    <w:rsid w:val="00996290"/>
    <w:pPr>
      <w:tabs>
        <w:tab w:val="center" w:pos="4536"/>
        <w:tab w:val="right" w:pos="9072"/>
      </w:tabs>
    </w:pPr>
    <w:rPr>
      <w:szCs w:val="20"/>
    </w:rPr>
  </w:style>
  <w:style w:type="character" w:customStyle="1" w:styleId="refkop">
    <w:name w:val="refkop"/>
    <w:rsid w:val="001B2BCB"/>
    <w:rPr>
      <w:rFonts w:ascii="Arial" w:hAnsi="Arial"/>
      <w:sz w:val="16"/>
    </w:rPr>
  </w:style>
  <w:style w:type="paragraph" w:customStyle="1" w:styleId="commentaar">
    <w:name w:val="commentaar"/>
    <w:basedOn w:val="Standaard"/>
    <w:rsid w:val="001B2B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pPr>
    <w:rPr>
      <w:i/>
      <w:szCs w:val="20"/>
    </w:rPr>
  </w:style>
  <w:style w:type="paragraph" w:customStyle="1" w:styleId="formuliernaam">
    <w:name w:val="formuliernaam"/>
    <w:basedOn w:val="Standaard"/>
    <w:rsid w:val="001B2BCB"/>
    <w:pPr>
      <w:spacing w:line="240" w:lineRule="auto"/>
      <w:jc w:val="left"/>
    </w:pPr>
    <w:rPr>
      <w:b/>
      <w:szCs w:val="20"/>
    </w:rPr>
  </w:style>
  <w:style w:type="character" w:styleId="Paginanummer">
    <w:name w:val="page number"/>
    <w:basedOn w:val="Standaardalinea-lettertype"/>
    <w:rsid w:val="001B2BCB"/>
  </w:style>
  <w:style w:type="paragraph" w:styleId="Ballontekst">
    <w:name w:val="Balloon Text"/>
    <w:basedOn w:val="Standaard"/>
    <w:link w:val="BallontekstChar"/>
    <w:rsid w:val="00C87629"/>
    <w:pPr>
      <w:spacing w:line="240" w:lineRule="auto"/>
    </w:pPr>
    <w:rPr>
      <w:rFonts w:ascii="Segoe UI" w:hAnsi="Segoe UI" w:cs="Segoe UI"/>
      <w:sz w:val="18"/>
      <w:szCs w:val="18"/>
    </w:rPr>
  </w:style>
  <w:style w:type="character" w:customStyle="1" w:styleId="BallontekstChar">
    <w:name w:val="Ballontekst Char"/>
    <w:link w:val="Ballontekst"/>
    <w:rsid w:val="00C87629"/>
    <w:rPr>
      <w:rFonts w:ascii="Segoe UI" w:hAnsi="Segoe UI" w:cs="Segoe UI"/>
      <w:sz w:val="18"/>
      <w:szCs w:val="18"/>
    </w:rPr>
  </w:style>
  <w:style w:type="table" w:styleId="Rastertabel2">
    <w:name w:val="Grid Table 2"/>
    <w:basedOn w:val="Standaardtabel"/>
    <w:rsid w:val="00D463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KoptekstChar">
    <w:name w:val="Koptekst Char"/>
    <w:basedOn w:val="Standaardalinea-lettertype"/>
    <w:link w:val="Koptekst"/>
    <w:rsid w:val="001F7EC2"/>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F187-68A9-4BDA-B700-502FF27C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10229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Onderwerp</vt:lpstr>
    </vt:vector>
  </TitlesOfParts>
  <Company>Gemeente Zaltbommel</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Roeland Winter</dc:creator>
  <cp:keywords/>
  <cp:lastModifiedBy>Jeannet Kornelis</cp:lastModifiedBy>
  <cp:revision>11</cp:revision>
  <cp:lastPrinted>2017-02-13T13:49:00Z</cp:lastPrinted>
  <dcterms:created xsi:type="dcterms:W3CDTF">2023-08-07T09:25:00Z</dcterms:created>
  <dcterms:modified xsi:type="dcterms:W3CDTF">2023-10-09T08:50:00Z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8a1b652d-43a5-af90-ae14-437144ee1ee7</vt:lpwstr>
  </property>
  <property fmtid="{D5CDD505-2E9C-101B-9397-08002B2CF9AE}" pid="3" name="CORSA_OBJECTTYPE">
    <vt:lpwstr>S</vt:lpwstr>
  </property>
  <property fmtid="{D5CDD505-2E9C-101B-9397-08002B2CF9AE}" pid="4" name="CORSA_OBJECTID">
    <vt:lpwstr>2306.04242</vt:lpwstr>
  </property>
  <property fmtid="{D5CDD505-2E9C-101B-9397-08002B2CF9AE}" pid="5" name="CORSA_VERSION">
    <vt:lpwstr>5</vt:lpwstr>
  </property>
</Properties>
</file>